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482F7">
      <w:pPr>
        <w:spacing w:line="520" w:lineRule="exact"/>
        <w:ind w:firstLine="960"/>
        <w:jc w:val="center"/>
        <w:rPr>
          <w:rFonts w:ascii="Times New Roman" w:hAnsi="Times New Roman" w:eastAsia="方正小标宋_GBK"/>
          <w:sz w:val="48"/>
          <w:szCs w:val="48"/>
        </w:rPr>
      </w:pPr>
    </w:p>
    <w:p w14:paraId="6B740C85">
      <w:pPr>
        <w:spacing w:line="520" w:lineRule="exact"/>
        <w:ind w:firstLine="0" w:firstLineChars="0"/>
        <w:jc w:val="center"/>
        <w:rPr>
          <w:rFonts w:ascii="Times New Roman" w:hAnsi="Times New Roman" w:eastAsia="方正小标宋_GBK"/>
          <w:sz w:val="48"/>
          <w:szCs w:val="48"/>
        </w:rPr>
      </w:pPr>
      <w:r>
        <w:rPr>
          <w:rFonts w:ascii="Times New Roman" w:hAnsi="Times New Roman" w:eastAsia="方正小标宋_GBK"/>
          <w:sz w:val="48"/>
          <w:szCs w:val="48"/>
        </w:rPr>
        <w:t>2021年度部门整体支出绩效自评</w:t>
      </w:r>
    </w:p>
    <w:p w14:paraId="48A390DF">
      <w:pPr>
        <w:spacing w:line="520" w:lineRule="exact"/>
        <w:ind w:firstLine="0" w:firstLineChars="0"/>
        <w:jc w:val="center"/>
        <w:rPr>
          <w:rFonts w:ascii="Times New Roman" w:hAnsi="Times New Roman" w:eastAsia="方正小标宋_GBK"/>
          <w:sz w:val="48"/>
          <w:szCs w:val="48"/>
        </w:rPr>
      </w:pPr>
      <w:r>
        <w:rPr>
          <w:rFonts w:ascii="Times New Roman" w:hAnsi="Times New Roman" w:eastAsia="方正小标宋_GBK"/>
          <w:sz w:val="48"/>
          <w:szCs w:val="48"/>
        </w:rPr>
        <w:t>报告</w:t>
      </w:r>
    </w:p>
    <w:p w14:paraId="6002884A">
      <w:pPr>
        <w:spacing w:line="520" w:lineRule="exact"/>
        <w:ind w:firstLine="643"/>
        <w:jc w:val="both"/>
        <w:rPr>
          <w:rFonts w:ascii="Times New Roman" w:hAnsi="Times New Roman" w:eastAsia="楷体_GB2312"/>
          <w:b/>
          <w:sz w:val="32"/>
          <w:szCs w:val="32"/>
        </w:rPr>
      </w:pPr>
    </w:p>
    <w:p w14:paraId="64082588">
      <w:pPr>
        <w:spacing w:line="520" w:lineRule="exact"/>
        <w:ind w:firstLine="640"/>
        <w:jc w:val="center"/>
        <w:rPr>
          <w:rFonts w:ascii="Times New Roman" w:hAnsi="Times New Roman" w:eastAsia="黑体"/>
          <w:sz w:val="32"/>
          <w:szCs w:val="32"/>
        </w:rPr>
      </w:pPr>
    </w:p>
    <w:p w14:paraId="28AEA261">
      <w:pPr>
        <w:spacing w:line="520" w:lineRule="exact"/>
        <w:ind w:firstLine="640"/>
        <w:jc w:val="center"/>
        <w:rPr>
          <w:rFonts w:ascii="Times New Roman" w:hAnsi="Times New Roman" w:eastAsia="黑体"/>
          <w:sz w:val="32"/>
          <w:szCs w:val="32"/>
        </w:rPr>
      </w:pPr>
    </w:p>
    <w:p w14:paraId="1E11FBB9">
      <w:pPr>
        <w:spacing w:line="520" w:lineRule="exact"/>
        <w:ind w:firstLine="640"/>
        <w:jc w:val="center"/>
        <w:rPr>
          <w:rFonts w:ascii="Times New Roman" w:hAnsi="Times New Roman" w:eastAsia="黑体"/>
          <w:sz w:val="32"/>
          <w:szCs w:val="32"/>
        </w:rPr>
      </w:pPr>
    </w:p>
    <w:p w14:paraId="742B5603">
      <w:pPr>
        <w:spacing w:line="520" w:lineRule="exact"/>
        <w:ind w:firstLine="640"/>
        <w:jc w:val="center"/>
        <w:rPr>
          <w:rFonts w:ascii="Times New Roman" w:hAnsi="Times New Roman" w:eastAsia="黑体"/>
          <w:sz w:val="32"/>
          <w:szCs w:val="32"/>
        </w:rPr>
      </w:pPr>
    </w:p>
    <w:p w14:paraId="74584FD9">
      <w:pPr>
        <w:spacing w:line="520" w:lineRule="exact"/>
        <w:ind w:firstLine="640"/>
        <w:jc w:val="center"/>
        <w:rPr>
          <w:rFonts w:ascii="Times New Roman" w:hAnsi="Times New Roman" w:eastAsia="黑体"/>
          <w:sz w:val="32"/>
          <w:szCs w:val="32"/>
        </w:rPr>
      </w:pPr>
    </w:p>
    <w:p w14:paraId="6B1AA978">
      <w:pPr>
        <w:spacing w:line="520" w:lineRule="exact"/>
        <w:ind w:firstLine="640"/>
        <w:jc w:val="center"/>
        <w:rPr>
          <w:rFonts w:ascii="Times New Roman" w:hAnsi="Times New Roman" w:eastAsia="黑体"/>
          <w:sz w:val="32"/>
          <w:szCs w:val="32"/>
        </w:rPr>
      </w:pPr>
    </w:p>
    <w:p w14:paraId="4B9A2B21">
      <w:pPr>
        <w:spacing w:line="520" w:lineRule="exact"/>
        <w:ind w:firstLine="640"/>
        <w:jc w:val="center"/>
        <w:rPr>
          <w:rFonts w:ascii="Times New Roman" w:hAnsi="Times New Roman" w:eastAsia="黑体"/>
          <w:sz w:val="32"/>
          <w:szCs w:val="32"/>
        </w:rPr>
      </w:pPr>
    </w:p>
    <w:p w14:paraId="1264BC75">
      <w:pPr>
        <w:spacing w:line="520" w:lineRule="exact"/>
        <w:ind w:firstLine="640"/>
        <w:jc w:val="center"/>
        <w:rPr>
          <w:rFonts w:ascii="Times New Roman" w:hAnsi="Times New Roman" w:eastAsia="黑体"/>
          <w:sz w:val="32"/>
          <w:szCs w:val="32"/>
        </w:rPr>
      </w:pPr>
    </w:p>
    <w:p w14:paraId="172A8690">
      <w:pPr>
        <w:spacing w:line="520" w:lineRule="exact"/>
        <w:ind w:firstLine="640"/>
        <w:jc w:val="center"/>
        <w:rPr>
          <w:rFonts w:ascii="Times New Roman" w:hAnsi="Times New Roman" w:eastAsia="黑体"/>
          <w:sz w:val="32"/>
          <w:szCs w:val="32"/>
        </w:rPr>
      </w:pPr>
    </w:p>
    <w:p w14:paraId="4FC63DD8">
      <w:pPr>
        <w:spacing w:line="520" w:lineRule="exact"/>
        <w:ind w:firstLine="640"/>
        <w:jc w:val="center"/>
        <w:rPr>
          <w:rFonts w:ascii="Times New Roman" w:hAnsi="Times New Roman" w:eastAsia="黑体"/>
          <w:sz w:val="32"/>
          <w:szCs w:val="32"/>
        </w:rPr>
      </w:pPr>
    </w:p>
    <w:p w14:paraId="62428942">
      <w:pPr>
        <w:spacing w:line="520" w:lineRule="exact"/>
        <w:ind w:firstLine="640"/>
        <w:jc w:val="center"/>
        <w:rPr>
          <w:rFonts w:ascii="Times New Roman" w:hAnsi="Times New Roman" w:eastAsia="黑体"/>
          <w:sz w:val="32"/>
          <w:szCs w:val="32"/>
        </w:rPr>
      </w:pPr>
    </w:p>
    <w:p w14:paraId="36D544C5">
      <w:pPr>
        <w:spacing w:line="520" w:lineRule="exact"/>
        <w:ind w:firstLine="640"/>
        <w:jc w:val="center"/>
        <w:rPr>
          <w:rFonts w:ascii="Times New Roman" w:hAnsi="Times New Roman" w:eastAsia="黑体"/>
          <w:sz w:val="32"/>
          <w:szCs w:val="32"/>
        </w:rPr>
      </w:pPr>
    </w:p>
    <w:p w14:paraId="1555EF07">
      <w:pPr>
        <w:spacing w:line="520" w:lineRule="exact"/>
        <w:ind w:firstLine="640"/>
        <w:jc w:val="center"/>
        <w:rPr>
          <w:rFonts w:hint="eastAsia" w:ascii="Times New Roman" w:hAnsi="Times New Roman" w:eastAsia="黑体"/>
          <w:sz w:val="32"/>
          <w:szCs w:val="32"/>
        </w:rPr>
      </w:pPr>
    </w:p>
    <w:p w14:paraId="6AF107A3">
      <w:pPr>
        <w:spacing w:line="520" w:lineRule="exact"/>
        <w:ind w:firstLine="640"/>
        <w:jc w:val="center"/>
        <w:rPr>
          <w:rFonts w:ascii="Times New Roman" w:hAnsi="Times New Roman" w:eastAsia="黑体"/>
          <w:sz w:val="32"/>
          <w:szCs w:val="32"/>
        </w:rPr>
      </w:pPr>
    </w:p>
    <w:p w14:paraId="60DF51BB">
      <w:pPr>
        <w:spacing w:line="520" w:lineRule="exact"/>
        <w:ind w:firstLine="880"/>
        <w:jc w:val="center"/>
        <w:rPr>
          <w:rFonts w:ascii="Times New Roman" w:hAnsi="Times New Roman" w:eastAsia="黑体"/>
          <w:sz w:val="44"/>
          <w:szCs w:val="44"/>
        </w:rPr>
      </w:pPr>
    </w:p>
    <w:p w14:paraId="5D094549">
      <w:pPr>
        <w:spacing w:line="520" w:lineRule="exact"/>
        <w:ind w:firstLine="880"/>
        <w:jc w:val="center"/>
        <w:rPr>
          <w:rFonts w:ascii="Times New Roman" w:hAnsi="Times New Roman" w:eastAsia="黑体"/>
          <w:sz w:val="44"/>
          <w:szCs w:val="44"/>
        </w:rPr>
      </w:pPr>
    </w:p>
    <w:p w14:paraId="6EF7E969">
      <w:pPr>
        <w:spacing w:line="520" w:lineRule="exact"/>
        <w:ind w:firstLine="880"/>
        <w:jc w:val="center"/>
        <w:rPr>
          <w:rFonts w:ascii="Times New Roman" w:hAnsi="Times New Roman" w:eastAsia="黑体"/>
          <w:sz w:val="44"/>
          <w:szCs w:val="44"/>
        </w:rPr>
      </w:pPr>
    </w:p>
    <w:p w14:paraId="1AB43543">
      <w:pPr>
        <w:spacing w:line="520" w:lineRule="exact"/>
        <w:ind w:firstLine="880"/>
        <w:jc w:val="center"/>
        <w:rPr>
          <w:rFonts w:ascii="Times New Roman" w:hAnsi="Times New Roman" w:eastAsia="黑体"/>
          <w:sz w:val="44"/>
          <w:szCs w:val="44"/>
        </w:rPr>
      </w:pPr>
    </w:p>
    <w:p w14:paraId="61B6038F">
      <w:pPr>
        <w:spacing w:line="520" w:lineRule="exact"/>
        <w:ind w:firstLine="0" w:firstLineChars="0"/>
        <w:jc w:val="center"/>
        <w:rPr>
          <w:rFonts w:hint="eastAsia" w:ascii="黑体" w:hAnsi="黑体" w:eastAsia="黑体"/>
          <w:sz w:val="44"/>
          <w:szCs w:val="44"/>
        </w:rPr>
      </w:pPr>
      <w:r>
        <w:rPr>
          <w:rFonts w:hint="eastAsia" w:ascii="Times New Roman" w:hAnsi="Times New Roman" w:eastAsia="黑体"/>
          <w:sz w:val="44"/>
          <w:szCs w:val="44"/>
        </w:rPr>
        <w:t>中方</w:t>
      </w:r>
      <w:r>
        <w:rPr>
          <w:rFonts w:ascii="黑体" w:hAnsi="黑体" w:eastAsia="黑体"/>
          <w:sz w:val="44"/>
          <w:szCs w:val="44"/>
        </w:rPr>
        <w:t>县</w:t>
      </w:r>
      <w:r>
        <w:rPr>
          <w:rFonts w:hint="eastAsia" w:ascii="黑体" w:hAnsi="黑体" w:eastAsia="黑体"/>
          <w:sz w:val="44"/>
          <w:szCs w:val="44"/>
        </w:rPr>
        <w:t>水利局</w:t>
      </w:r>
    </w:p>
    <w:p w14:paraId="70A71E1A">
      <w:pPr>
        <w:pStyle w:val="5"/>
        <w:spacing w:before="0" w:beforeAutospacing="0" w:after="0" w:line="520" w:lineRule="exact"/>
        <w:ind w:left="231" w:leftChars="105" w:firstLine="880"/>
        <w:rPr>
          <w:rFonts w:ascii="黑体" w:hAnsi="黑体" w:eastAsia="黑体"/>
          <w:sz w:val="44"/>
          <w:szCs w:val="44"/>
        </w:rPr>
      </w:pPr>
    </w:p>
    <w:p w14:paraId="542914CF">
      <w:pPr>
        <w:pStyle w:val="5"/>
        <w:spacing w:before="0" w:beforeAutospacing="0" w:after="0" w:line="520" w:lineRule="exact"/>
        <w:ind w:left="231" w:leftChars="105" w:firstLine="880"/>
        <w:rPr>
          <w:rFonts w:ascii="黑体" w:hAnsi="黑体" w:eastAsia="黑体"/>
          <w:sz w:val="44"/>
          <w:szCs w:val="44"/>
        </w:rPr>
      </w:pPr>
    </w:p>
    <w:p w14:paraId="27066A37">
      <w:pPr>
        <w:pStyle w:val="12"/>
        <w:spacing w:line="520" w:lineRule="exact"/>
        <w:ind w:firstLine="640"/>
        <w:rPr>
          <w:rFonts w:ascii="Times New Roman" w:hAnsi="Times New Roman" w:eastAsia="黑体"/>
          <w:bCs/>
          <w:color w:val="000000"/>
          <w:sz w:val="32"/>
          <w:szCs w:val="32"/>
        </w:rPr>
      </w:pPr>
    </w:p>
    <w:p w14:paraId="49E88D38">
      <w:pPr>
        <w:pStyle w:val="12"/>
        <w:spacing w:line="520" w:lineRule="exact"/>
        <w:ind w:firstLine="3080" w:firstLineChars="700"/>
        <w:rPr>
          <w:rFonts w:ascii="Times New Roman" w:hAnsi="Times New Roman" w:eastAsia="黑体"/>
          <w:bCs/>
          <w:color w:val="000000"/>
          <w:sz w:val="44"/>
          <w:szCs w:val="44"/>
        </w:rPr>
      </w:pPr>
    </w:p>
    <w:p w14:paraId="590931AD">
      <w:pPr>
        <w:pStyle w:val="12"/>
        <w:spacing w:line="520" w:lineRule="exact"/>
        <w:ind w:firstLine="3080" w:firstLineChars="700"/>
        <w:rPr>
          <w:rFonts w:ascii="Times New Roman" w:hAnsi="Times New Roman" w:eastAsia="黑体"/>
          <w:bCs/>
          <w:color w:val="000000"/>
          <w:sz w:val="44"/>
          <w:szCs w:val="44"/>
        </w:rPr>
      </w:pPr>
      <w:r>
        <w:rPr>
          <w:rFonts w:hint="eastAsia" w:ascii="Times New Roman" w:hAnsi="Times New Roman" w:eastAsia="黑体"/>
          <w:bCs/>
          <w:color w:val="000000"/>
          <w:sz w:val="44"/>
          <w:szCs w:val="44"/>
        </w:rPr>
        <w:t xml:space="preserve">目 </w:t>
      </w:r>
      <w:r>
        <w:rPr>
          <w:rFonts w:ascii="Times New Roman" w:hAnsi="Times New Roman" w:eastAsia="黑体"/>
          <w:bCs/>
          <w:color w:val="000000"/>
          <w:sz w:val="44"/>
          <w:szCs w:val="44"/>
        </w:rPr>
        <w:t xml:space="preserve">   </w:t>
      </w:r>
      <w:r>
        <w:rPr>
          <w:rFonts w:hint="eastAsia" w:ascii="Times New Roman" w:hAnsi="Times New Roman" w:eastAsia="黑体"/>
          <w:bCs/>
          <w:color w:val="000000"/>
          <w:sz w:val="44"/>
          <w:szCs w:val="44"/>
        </w:rPr>
        <w:t>录</w:t>
      </w:r>
    </w:p>
    <w:p w14:paraId="3A1C43E6">
      <w:pPr>
        <w:spacing w:line="520" w:lineRule="exact"/>
        <w:ind w:firstLine="0" w:firstLineChars="0"/>
        <w:rPr>
          <w:rFonts w:ascii="Times New Roman" w:hAnsi="Times New Roman" w:eastAsia="黑体"/>
          <w:bCs/>
          <w:color w:val="000000"/>
          <w:sz w:val="32"/>
          <w:szCs w:val="32"/>
        </w:rPr>
      </w:pPr>
    </w:p>
    <w:p w14:paraId="7E84C831">
      <w:pPr>
        <w:spacing w:line="520" w:lineRule="exact"/>
        <w:ind w:firstLine="0" w:firstLineChars="0"/>
        <w:rPr>
          <w:rFonts w:ascii="宋体" w:hAnsi="宋体"/>
          <w:bCs/>
          <w:color w:val="000000"/>
          <w:sz w:val="32"/>
          <w:szCs w:val="32"/>
        </w:rPr>
      </w:pPr>
      <w:r>
        <w:rPr>
          <w:rFonts w:hint="eastAsia" w:ascii="宋体" w:hAnsi="宋体"/>
          <w:bCs/>
          <w:color w:val="000000"/>
          <w:sz w:val="32"/>
          <w:szCs w:val="32"/>
        </w:rPr>
        <w:t>一、部门</w:t>
      </w:r>
      <w:r>
        <w:rPr>
          <w:rFonts w:ascii="宋体" w:hAnsi="宋体"/>
          <w:bCs/>
          <w:color w:val="000000"/>
          <w:sz w:val="32"/>
          <w:szCs w:val="32"/>
        </w:rPr>
        <w:t>基本情况</w:t>
      </w:r>
    </w:p>
    <w:p w14:paraId="3ED6AE52">
      <w:pPr>
        <w:spacing w:line="520" w:lineRule="exact"/>
        <w:ind w:firstLine="0" w:firstLineChars="0"/>
        <w:rPr>
          <w:rFonts w:ascii="仿宋" w:hAnsi="仿宋" w:eastAsia="仿宋"/>
          <w:sz w:val="32"/>
          <w:szCs w:val="32"/>
        </w:rPr>
      </w:pPr>
      <w:r>
        <w:rPr>
          <w:rFonts w:hint="eastAsia" w:ascii="仿宋" w:hAnsi="仿宋" w:eastAsia="仿宋"/>
          <w:sz w:val="32"/>
          <w:szCs w:val="32"/>
        </w:rPr>
        <w:t>（一）部门职能与机构设置</w:t>
      </w:r>
    </w:p>
    <w:p w14:paraId="21522C73">
      <w:pPr>
        <w:spacing w:line="520" w:lineRule="exact"/>
        <w:ind w:firstLine="0" w:firstLineChars="0"/>
        <w:rPr>
          <w:rFonts w:ascii="仿宋" w:hAnsi="仿宋" w:eastAsia="仿宋"/>
          <w:sz w:val="32"/>
          <w:szCs w:val="32"/>
        </w:rPr>
      </w:pPr>
      <w:r>
        <w:rPr>
          <w:rFonts w:hint="eastAsia" w:ascii="仿宋" w:hAnsi="仿宋" w:eastAsia="仿宋"/>
          <w:sz w:val="32"/>
          <w:szCs w:val="32"/>
        </w:rPr>
        <w:t>（二）人员情况</w:t>
      </w:r>
    </w:p>
    <w:p w14:paraId="1D8B14CC">
      <w:pPr>
        <w:spacing w:line="520" w:lineRule="exact"/>
        <w:ind w:firstLine="0" w:firstLineChars="0"/>
        <w:rPr>
          <w:rFonts w:ascii="仿宋" w:hAnsi="仿宋" w:eastAsia="仿宋"/>
          <w:sz w:val="32"/>
          <w:szCs w:val="32"/>
        </w:rPr>
      </w:pPr>
      <w:r>
        <w:rPr>
          <w:rFonts w:hint="eastAsia" w:ascii="仿宋" w:hAnsi="仿宋" w:eastAsia="仿宋"/>
          <w:sz w:val="32"/>
          <w:szCs w:val="32"/>
        </w:rPr>
        <w:t>（三）部门年度总体工作任务和重点工作任务</w:t>
      </w:r>
    </w:p>
    <w:p w14:paraId="76988661">
      <w:pPr>
        <w:spacing w:line="520" w:lineRule="exact"/>
        <w:ind w:firstLine="0" w:firstLineChars="0"/>
        <w:rPr>
          <w:rFonts w:ascii="仿宋" w:hAnsi="仿宋" w:eastAsia="仿宋"/>
          <w:sz w:val="32"/>
          <w:szCs w:val="32"/>
        </w:rPr>
      </w:pPr>
      <w:r>
        <w:rPr>
          <w:rFonts w:hint="eastAsia" w:ascii="仿宋" w:hAnsi="仿宋" w:eastAsia="仿宋"/>
          <w:sz w:val="32"/>
          <w:szCs w:val="32"/>
        </w:rPr>
        <w:t>（四）部门年度整体收支情况</w:t>
      </w:r>
    </w:p>
    <w:p w14:paraId="307C288F">
      <w:pPr>
        <w:spacing w:line="520" w:lineRule="exact"/>
        <w:ind w:firstLine="0" w:firstLineChars="0"/>
        <w:rPr>
          <w:rFonts w:hint="eastAsia" w:ascii="宋体" w:hAnsi="宋体"/>
          <w:bCs/>
          <w:color w:val="000000"/>
          <w:sz w:val="32"/>
          <w:szCs w:val="32"/>
        </w:rPr>
      </w:pPr>
      <w:r>
        <w:rPr>
          <w:rFonts w:hint="eastAsia" w:ascii="仿宋" w:hAnsi="仿宋" w:eastAsia="仿宋"/>
          <w:sz w:val="32"/>
          <w:szCs w:val="32"/>
        </w:rPr>
        <w:t>（五）部门年度整体工作目标任务完成情况</w:t>
      </w:r>
    </w:p>
    <w:p w14:paraId="244B51AF">
      <w:pPr>
        <w:spacing w:line="540" w:lineRule="exact"/>
        <w:ind w:firstLine="0" w:firstLineChars="0"/>
        <w:rPr>
          <w:rFonts w:ascii="黑体" w:hAnsi="黑体" w:eastAsia="黑体"/>
          <w:sz w:val="32"/>
          <w:szCs w:val="32"/>
        </w:rPr>
      </w:pPr>
      <w:r>
        <w:rPr>
          <w:rFonts w:hint="eastAsia" w:ascii="黑体" w:hAnsi="黑体" w:eastAsia="黑体"/>
          <w:sz w:val="32"/>
          <w:szCs w:val="32"/>
        </w:rPr>
        <w:t>二、部门整体评价工作开展</w:t>
      </w:r>
    </w:p>
    <w:p w14:paraId="2205E2DB">
      <w:pPr>
        <w:spacing w:line="540" w:lineRule="exact"/>
        <w:ind w:firstLine="0" w:firstLineChars="0"/>
        <w:rPr>
          <w:rFonts w:ascii="仿宋" w:hAnsi="仿宋" w:eastAsia="仿宋"/>
          <w:sz w:val="32"/>
          <w:szCs w:val="32"/>
        </w:rPr>
      </w:pPr>
      <w:r>
        <w:rPr>
          <w:rFonts w:hint="eastAsia" w:ascii="仿宋" w:hAnsi="仿宋" w:eastAsia="仿宋"/>
          <w:sz w:val="32"/>
          <w:szCs w:val="32"/>
        </w:rPr>
        <w:t>（一）绩效评价实施过程情况</w:t>
      </w:r>
    </w:p>
    <w:p w14:paraId="3C6EC9B9">
      <w:pPr>
        <w:spacing w:line="520" w:lineRule="exact"/>
        <w:ind w:firstLine="0" w:firstLineChars="0"/>
        <w:rPr>
          <w:rFonts w:ascii="宋体" w:hAnsi="宋体"/>
          <w:bCs/>
          <w:color w:val="000000"/>
          <w:sz w:val="32"/>
          <w:szCs w:val="32"/>
        </w:rPr>
      </w:pPr>
      <w:r>
        <w:rPr>
          <w:rFonts w:hint="eastAsia" w:ascii="仿宋" w:hAnsi="仿宋" w:eastAsia="仿宋"/>
          <w:sz w:val="32"/>
          <w:szCs w:val="32"/>
        </w:rPr>
        <w:t>（二）绩效评价整体结果概况</w:t>
      </w:r>
    </w:p>
    <w:p w14:paraId="7152FB7F">
      <w:pPr>
        <w:spacing w:line="540" w:lineRule="exact"/>
        <w:ind w:firstLine="0" w:firstLineChars="0"/>
        <w:rPr>
          <w:rFonts w:ascii="黑体" w:hAnsi="黑体" w:eastAsia="黑体"/>
          <w:sz w:val="32"/>
          <w:szCs w:val="32"/>
        </w:rPr>
      </w:pPr>
      <w:r>
        <w:rPr>
          <w:rFonts w:hint="eastAsia" w:ascii="黑体" w:hAnsi="黑体" w:eastAsia="黑体"/>
          <w:sz w:val="32"/>
          <w:szCs w:val="32"/>
        </w:rPr>
        <w:t>三、部门整体支出绩效评价分析</w:t>
      </w:r>
    </w:p>
    <w:p w14:paraId="44352DAE">
      <w:pPr>
        <w:spacing w:line="520" w:lineRule="exact"/>
        <w:ind w:firstLine="0" w:firstLineChars="0"/>
        <w:rPr>
          <w:rFonts w:ascii="宋体" w:hAnsi="宋体"/>
          <w:bCs/>
          <w:color w:val="000000"/>
          <w:sz w:val="32"/>
          <w:szCs w:val="32"/>
        </w:rPr>
      </w:pPr>
      <w:r>
        <w:rPr>
          <w:rFonts w:hint="eastAsia" w:ascii="仿宋" w:hAnsi="仿宋" w:eastAsia="仿宋"/>
          <w:sz w:val="32"/>
          <w:szCs w:val="32"/>
        </w:rPr>
        <w:t>（一）投入情况分析</w:t>
      </w:r>
    </w:p>
    <w:p w14:paraId="5CD8CB03">
      <w:pPr>
        <w:spacing w:line="520" w:lineRule="exact"/>
        <w:ind w:firstLine="0" w:firstLineChars="0"/>
        <w:rPr>
          <w:rFonts w:ascii="宋体" w:hAnsi="宋体"/>
          <w:bCs/>
          <w:color w:val="000000"/>
          <w:sz w:val="32"/>
          <w:szCs w:val="32"/>
        </w:rPr>
      </w:pPr>
      <w:r>
        <w:rPr>
          <w:rFonts w:hint="eastAsia" w:ascii="仿宋" w:hAnsi="仿宋" w:eastAsia="仿宋" w:cs="仿宋"/>
          <w:sz w:val="32"/>
          <w:szCs w:val="32"/>
        </w:rPr>
        <w:t>（二）执行管理情况分析，</w:t>
      </w:r>
    </w:p>
    <w:p w14:paraId="1ADA2E56">
      <w:pPr>
        <w:spacing w:line="520" w:lineRule="exact"/>
        <w:ind w:firstLine="0" w:firstLineChars="0"/>
        <w:rPr>
          <w:rFonts w:ascii="宋体" w:hAnsi="宋体"/>
          <w:bCs/>
          <w:color w:val="000000"/>
          <w:sz w:val="32"/>
          <w:szCs w:val="32"/>
        </w:rPr>
      </w:pPr>
      <w:r>
        <w:rPr>
          <w:rFonts w:hint="eastAsia" w:ascii="仿宋" w:hAnsi="仿宋" w:eastAsia="仿宋" w:cs="仿宋"/>
          <w:sz w:val="32"/>
          <w:szCs w:val="32"/>
        </w:rPr>
        <w:t>（三）支出绩效情况分析</w:t>
      </w:r>
    </w:p>
    <w:p w14:paraId="17B521FC">
      <w:pPr>
        <w:spacing w:line="600" w:lineRule="atLeast"/>
        <w:ind w:firstLine="0" w:firstLineChars="0"/>
        <w:rPr>
          <w:rFonts w:ascii="黑体" w:hAnsi="黑体" w:eastAsia="黑体" w:cs="黑体"/>
          <w:bCs/>
          <w:sz w:val="32"/>
          <w:szCs w:val="32"/>
        </w:rPr>
      </w:pPr>
      <w:r>
        <w:rPr>
          <w:rFonts w:hint="eastAsia" w:ascii="黑体" w:hAnsi="黑体" w:eastAsia="黑体" w:cs="黑体"/>
          <w:bCs/>
          <w:sz w:val="32"/>
          <w:szCs w:val="32"/>
        </w:rPr>
        <w:t>四、存在的问题</w:t>
      </w:r>
    </w:p>
    <w:p w14:paraId="56B1546F">
      <w:pPr>
        <w:spacing w:line="600" w:lineRule="atLeast"/>
        <w:ind w:firstLine="0" w:firstLineChars="0"/>
        <w:rPr>
          <w:rFonts w:ascii="黑体" w:hAnsi="黑体" w:eastAsia="黑体" w:cs="黑体"/>
          <w:bCs/>
          <w:sz w:val="32"/>
          <w:szCs w:val="32"/>
        </w:rPr>
      </w:pPr>
      <w:r>
        <w:rPr>
          <w:rFonts w:hint="eastAsia" w:ascii="黑体" w:hAnsi="黑体" w:eastAsia="黑体" w:cs="黑体"/>
          <w:bCs/>
          <w:sz w:val="32"/>
          <w:szCs w:val="32"/>
        </w:rPr>
        <w:t>五、整改措施或建议</w:t>
      </w:r>
    </w:p>
    <w:p w14:paraId="44E950DA">
      <w:pPr>
        <w:spacing w:line="600" w:lineRule="atLeast"/>
        <w:ind w:firstLine="0" w:firstLineChars="0"/>
        <w:rPr>
          <w:rFonts w:ascii="黑体" w:hAnsi="黑体" w:eastAsia="黑体" w:cs="黑体"/>
          <w:bCs/>
          <w:sz w:val="32"/>
          <w:szCs w:val="32"/>
        </w:rPr>
        <w:sectPr>
          <w:footerReference r:id="rId5" w:type="default"/>
          <w:pgSz w:w="11906" w:h="16838"/>
          <w:pgMar w:top="1587" w:right="1587" w:bottom="1587" w:left="1587" w:header="708" w:footer="709" w:gutter="0"/>
          <w:pgNumType w:start="1"/>
          <w:cols w:space="0" w:num="1"/>
          <w:docGrid w:linePitch="360" w:charSpace="0"/>
        </w:sectPr>
      </w:pPr>
      <w:r>
        <w:rPr>
          <w:rFonts w:hint="eastAsia" w:ascii="黑体" w:hAnsi="黑体" w:eastAsia="黑体" w:cs="黑体"/>
          <w:bCs/>
          <w:sz w:val="32"/>
          <w:szCs w:val="32"/>
        </w:rPr>
        <w:t>六、其他需要说明的问题</w:t>
      </w:r>
    </w:p>
    <w:p w14:paraId="2417E7E3">
      <w:pPr>
        <w:spacing w:line="560" w:lineRule="exact"/>
        <w:ind w:firstLine="0" w:firstLineChars="0"/>
        <w:jc w:val="center"/>
        <w:rPr>
          <w:rFonts w:ascii="黑体" w:hAnsi="黑体" w:eastAsia="黑体"/>
          <w:sz w:val="44"/>
          <w:szCs w:val="44"/>
        </w:rPr>
      </w:pPr>
      <w:r>
        <w:rPr>
          <w:rFonts w:hint="eastAsia" w:ascii="黑体" w:hAnsi="黑体" w:eastAsia="黑体"/>
          <w:sz w:val="44"/>
          <w:szCs w:val="44"/>
        </w:rPr>
        <w:t>中方县水利局2021年度部门整体支出</w:t>
      </w:r>
    </w:p>
    <w:p w14:paraId="7063AB92">
      <w:pPr>
        <w:spacing w:line="560" w:lineRule="exact"/>
        <w:ind w:firstLine="0" w:firstLineChars="0"/>
        <w:jc w:val="center"/>
        <w:rPr>
          <w:rFonts w:ascii="黑体" w:hAnsi="黑体" w:eastAsia="黑体"/>
          <w:sz w:val="44"/>
          <w:szCs w:val="44"/>
        </w:rPr>
      </w:pPr>
      <w:r>
        <w:rPr>
          <w:rFonts w:hint="eastAsia" w:ascii="黑体" w:hAnsi="黑体" w:eastAsia="黑体"/>
          <w:sz w:val="44"/>
          <w:szCs w:val="44"/>
        </w:rPr>
        <w:t>绩效自评报告</w:t>
      </w:r>
    </w:p>
    <w:p w14:paraId="2D25E2F0">
      <w:pPr>
        <w:spacing w:line="560" w:lineRule="exact"/>
        <w:ind w:firstLine="640"/>
        <w:rPr>
          <w:rFonts w:ascii="仿宋" w:hAnsi="仿宋" w:eastAsia="仿宋"/>
          <w:sz w:val="32"/>
          <w:szCs w:val="32"/>
        </w:rPr>
      </w:pPr>
    </w:p>
    <w:p w14:paraId="1D1D9F5E">
      <w:pPr>
        <w:spacing w:line="560" w:lineRule="exact"/>
        <w:ind w:firstLine="640"/>
        <w:rPr>
          <w:sz w:val="32"/>
          <w:szCs w:val="32"/>
        </w:rPr>
      </w:pPr>
      <w:r>
        <w:rPr>
          <w:rFonts w:hint="eastAsia"/>
          <w:sz w:val="32"/>
          <w:szCs w:val="32"/>
        </w:rPr>
        <w:t>一、部门基本情况</w:t>
      </w:r>
    </w:p>
    <w:p w14:paraId="4678F949">
      <w:pPr>
        <w:spacing w:line="560" w:lineRule="exact"/>
        <w:ind w:firstLine="643"/>
        <w:rPr>
          <w:b/>
          <w:sz w:val="32"/>
          <w:szCs w:val="32"/>
        </w:rPr>
      </w:pPr>
      <w:r>
        <w:rPr>
          <w:rFonts w:hint="eastAsia" w:ascii="楷体" w:hAnsi="楷体" w:eastAsia="楷体"/>
          <w:b/>
          <w:sz w:val="32"/>
          <w:szCs w:val="32"/>
        </w:rPr>
        <w:t>（一）部门职能与机构设置</w:t>
      </w:r>
    </w:p>
    <w:p w14:paraId="1C0F97AF">
      <w:pPr>
        <w:spacing w:line="560" w:lineRule="exact"/>
        <w:ind w:firstLine="643"/>
        <w:rPr>
          <w:rFonts w:ascii="仿宋" w:hAnsi="仿宋" w:eastAsia="仿宋"/>
          <w:sz w:val="32"/>
          <w:szCs w:val="32"/>
        </w:rPr>
      </w:pPr>
      <w:r>
        <w:rPr>
          <w:rFonts w:hint="eastAsia" w:ascii="仿宋" w:hAnsi="仿宋" w:eastAsia="仿宋"/>
          <w:b/>
          <w:sz w:val="32"/>
          <w:szCs w:val="32"/>
        </w:rPr>
        <w:t>部门职能：</w:t>
      </w:r>
      <w:r>
        <w:rPr>
          <w:rFonts w:hint="eastAsia" w:ascii="仿宋" w:hAnsi="仿宋" w:eastAsia="仿宋"/>
          <w:sz w:val="32"/>
          <w:szCs w:val="32"/>
        </w:rPr>
        <w:t>1.负责保障全县水资源的合理开发和利用。2.负责生活、生产经营和生态环境用水的统筹和保障。3.按规定制定水利工程建设和运行管理有关制定并组织实施，负责提出水利固定资产投资规模、方向、具体安排建议并组织指导实施，按县政府规定权限审批、核准规划内和年度计划规模内固定资产投资项目，提出水利资金安排建议并负责项目实施的监督管理。4.指导水资源保护工作。5.负责节约用水工作。6.指导水利设施、水域及其岸线的管理、保护与综合利用。7.指导监督水利工程建设与运行管理。8.负责水土保持工作。9.指导农村水利工作。10.负责水利工程移民管理工作。11.指导协调重大涉水违法事件的查处，协调跨乡镇水事纠纷，指导水政监察和水行政执法。12.开展水利科技和外事工作。13.负责落实综合防灾减灾规划相关要求，组织编制洪水干旱灾害防治规划和防护标准并指导实施。14.负责本部门所有行政审批事项的统一受理、登记、申报资料初审及办结事项的缴费、制证（文）、盖章、发证（文）等服务工作，并派员进驻县政务服务中心办公；牵头协调需送其他股室审核，或需经现场勘查、专家论证、集体研究的行政审批事项，督促相关股室在承诺期限内完成相关审核工作；承办本部门组织或参与其他部门组织的并联审批，并按权限签署审查意见；负责本部门进驻县政务服务中心的行政审批服务事项及人员的动态管理；负责本部门行政审批专章的保管和使用。15.完成县委和县政府交办的其他任务。16.职能转变。</w:t>
      </w:r>
    </w:p>
    <w:p w14:paraId="7197FCCA">
      <w:pPr>
        <w:spacing w:line="560" w:lineRule="exact"/>
        <w:ind w:firstLine="643"/>
        <w:rPr>
          <w:rFonts w:ascii="仿宋" w:hAnsi="仿宋" w:eastAsia="仿宋"/>
          <w:sz w:val="32"/>
          <w:szCs w:val="32"/>
        </w:rPr>
      </w:pPr>
      <w:r>
        <w:rPr>
          <w:rFonts w:hint="eastAsia" w:ascii="仿宋" w:hAnsi="仿宋" w:eastAsia="仿宋"/>
          <w:b/>
          <w:sz w:val="32"/>
          <w:szCs w:val="32"/>
        </w:rPr>
        <w:t>机构设置：</w:t>
      </w:r>
      <w:r>
        <w:rPr>
          <w:rFonts w:hint="eastAsia" w:ascii="仿宋" w:hAnsi="仿宋" w:eastAsia="仿宋"/>
          <w:sz w:val="32"/>
          <w:szCs w:val="32"/>
        </w:rPr>
        <w:t>中方县水利局为正科级全额拨款行政单位。内设办公室、人事财务股、水资源与政策法规股（加挂县节约用水办公室牌子）、水利工程质量与运行安全监督股（加挂水旱灾害防御股牌子）、河湖管理股（加挂河长制工作股牌子）、水土保持股、行政审批服务股、农村水利水电股（加挂水库移民股牌子）8个股室。有2个独立核算的二级机构：中方县五龙溪水库管理站和中方县库区移民事务中心；5个非独立核算的二级机构：中方县水政水资源服务中心、中方县水土保持站、中方县水利水电事务中心、中方县河长制工作委员会办公室、中方县水旱灾害防御事务中心。</w:t>
      </w:r>
    </w:p>
    <w:p w14:paraId="3CBB5E43">
      <w:pPr>
        <w:spacing w:line="560" w:lineRule="exact"/>
        <w:ind w:firstLine="643"/>
        <w:rPr>
          <w:rFonts w:ascii="仿宋" w:hAnsi="仿宋" w:eastAsia="仿宋"/>
          <w:sz w:val="32"/>
          <w:szCs w:val="32"/>
        </w:rPr>
      </w:pPr>
      <w:r>
        <w:rPr>
          <w:rFonts w:hint="eastAsia" w:ascii="楷体" w:hAnsi="楷体" w:eastAsia="楷体"/>
          <w:b/>
          <w:sz w:val="32"/>
          <w:szCs w:val="32"/>
        </w:rPr>
        <w:t>（二）人员情况：</w:t>
      </w:r>
      <w:r>
        <w:rPr>
          <w:rFonts w:hint="eastAsia" w:ascii="仿宋" w:hAnsi="仿宋" w:eastAsia="仿宋"/>
          <w:sz w:val="32"/>
          <w:szCs w:val="32"/>
        </w:rPr>
        <w:t>我局共核定编制52人，其中：行政及参公编制人员6人，事业编制人数45人，工勤编制1人。单位实有在职人员</w:t>
      </w:r>
      <w:r>
        <w:rPr>
          <w:rFonts w:ascii="仿宋" w:hAnsi="仿宋" w:eastAsia="仿宋"/>
          <w:sz w:val="32"/>
          <w:szCs w:val="32"/>
        </w:rPr>
        <w:t>51</w:t>
      </w:r>
      <w:r>
        <w:rPr>
          <w:rFonts w:hint="eastAsia" w:ascii="仿宋" w:hAnsi="仿宋" w:eastAsia="仿宋"/>
          <w:sz w:val="32"/>
          <w:szCs w:val="32"/>
        </w:rPr>
        <w:t>人，其中：行政及参公在职</w:t>
      </w:r>
      <w:r>
        <w:rPr>
          <w:rFonts w:ascii="仿宋" w:hAnsi="仿宋" w:eastAsia="仿宋"/>
          <w:sz w:val="32"/>
          <w:szCs w:val="32"/>
        </w:rPr>
        <w:t>6</w:t>
      </w:r>
      <w:r>
        <w:rPr>
          <w:rFonts w:hint="eastAsia" w:ascii="仿宋" w:hAnsi="仿宋" w:eastAsia="仿宋"/>
          <w:sz w:val="32"/>
          <w:szCs w:val="32"/>
        </w:rPr>
        <w:t>人，事业在职人数4</w:t>
      </w:r>
      <w:r>
        <w:rPr>
          <w:rFonts w:ascii="仿宋" w:hAnsi="仿宋" w:eastAsia="仿宋"/>
          <w:sz w:val="32"/>
          <w:szCs w:val="32"/>
        </w:rPr>
        <w:t>4</w:t>
      </w:r>
      <w:r>
        <w:rPr>
          <w:rFonts w:hint="eastAsia" w:ascii="仿宋" w:hAnsi="仿宋" w:eastAsia="仿宋"/>
          <w:sz w:val="32"/>
          <w:szCs w:val="32"/>
        </w:rPr>
        <w:t>人，工勤在职人数1人。退休人员46人，提前退休人员2人。</w:t>
      </w:r>
    </w:p>
    <w:p w14:paraId="3638C02D">
      <w:pPr>
        <w:spacing w:line="560" w:lineRule="exact"/>
        <w:ind w:firstLine="643"/>
        <w:rPr>
          <w:rFonts w:ascii="楷体" w:hAnsi="楷体" w:eastAsia="楷体"/>
          <w:b/>
          <w:sz w:val="32"/>
          <w:szCs w:val="32"/>
        </w:rPr>
      </w:pPr>
      <w:r>
        <w:rPr>
          <w:rFonts w:hint="eastAsia" w:ascii="楷体" w:hAnsi="楷体" w:eastAsia="楷体"/>
          <w:b/>
          <w:sz w:val="32"/>
          <w:szCs w:val="32"/>
        </w:rPr>
        <w:t>（三）部门年度总体工作任务和重点工作任务</w:t>
      </w:r>
    </w:p>
    <w:p w14:paraId="24E4B708">
      <w:pPr>
        <w:spacing w:line="560" w:lineRule="exact"/>
        <w:ind w:firstLine="640"/>
        <w:rPr>
          <w:rFonts w:ascii="仿宋" w:hAnsi="仿宋" w:eastAsia="仿宋" w:cs="宋体"/>
          <w:sz w:val="32"/>
          <w:szCs w:val="32"/>
        </w:rPr>
      </w:pPr>
      <w:r>
        <w:rPr>
          <w:rFonts w:hint="eastAsia" w:ascii="仿宋" w:hAnsi="仿宋" w:eastAsia="仿宋" w:cs="宋体"/>
          <w:sz w:val="32"/>
          <w:szCs w:val="32"/>
        </w:rPr>
        <w:t>1、完成保障水资源的合理开发利用，负责生活、生产经营和生态环境用水的统筹和保障，组织完成实施最严格水资源管理制度，实施水资源的统一监督管理。</w:t>
      </w:r>
      <w:r>
        <w:rPr>
          <w:rFonts w:hint="eastAsia" w:ascii="仿宋" w:hAnsi="仿宋" w:eastAsia="仿宋" w:cs="宋体"/>
          <w:sz w:val="32"/>
          <w:szCs w:val="32"/>
        </w:rPr>
        <w:br w:type="textWrapping"/>
      </w:r>
      <w:r>
        <w:rPr>
          <w:rFonts w:ascii="仿宋" w:hAnsi="仿宋" w:eastAsia="仿宋" w:cs="宋体"/>
          <w:sz w:val="32"/>
          <w:szCs w:val="32"/>
        </w:rPr>
        <w:t xml:space="preserve">    </w:t>
      </w:r>
      <w:r>
        <w:rPr>
          <w:rFonts w:hint="eastAsia" w:ascii="仿宋" w:hAnsi="仿宋" w:eastAsia="仿宋" w:cs="宋体"/>
          <w:sz w:val="32"/>
          <w:szCs w:val="32"/>
        </w:rPr>
        <w:t>2、完成水利设施、水域及其岸线的管理、保护与综合利用。实现河（湖）长制组织实施具体项目。</w:t>
      </w:r>
      <w:r>
        <w:rPr>
          <w:rFonts w:hint="eastAsia" w:ascii="仿宋" w:hAnsi="仿宋" w:eastAsia="仿宋" w:cs="宋体"/>
          <w:sz w:val="32"/>
          <w:szCs w:val="32"/>
        </w:rPr>
        <w:br w:type="textWrapping"/>
      </w:r>
      <w:r>
        <w:rPr>
          <w:rFonts w:ascii="仿宋" w:hAnsi="仿宋" w:eastAsia="仿宋" w:cs="宋体"/>
          <w:sz w:val="32"/>
          <w:szCs w:val="32"/>
        </w:rPr>
        <w:t xml:space="preserve">    </w:t>
      </w:r>
      <w:r>
        <w:rPr>
          <w:rFonts w:hint="eastAsia" w:ascii="仿宋" w:hAnsi="仿宋" w:eastAsia="仿宋" w:cs="宋体"/>
          <w:sz w:val="32"/>
          <w:szCs w:val="32"/>
        </w:rPr>
        <w:t xml:space="preserve">3、完成指导监督水利工程建设与运行管理。组织实施水利工程建设的监督。                </w:t>
      </w:r>
    </w:p>
    <w:p w14:paraId="46982669">
      <w:pPr>
        <w:spacing w:line="560" w:lineRule="exact"/>
        <w:ind w:firstLine="640"/>
        <w:rPr>
          <w:rFonts w:ascii="仿宋" w:hAnsi="仿宋" w:eastAsia="仿宋" w:cs="宋体"/>
          <w:sz w:val="32"/>
          <w:szCs w:val="32"/>
        </w:rPr>
      </w:pPr>
      <w:r>
        <w:rPr>
          <w:rFonts w:hint="eastAsia" w:ascii="仿宋" w:hAnsi="仿宋" w:eastAsia="仿宋" w:cs="宋体"/>
          <w:sz w:val="32"/>
          <w:szCs w:val="32"/>
        </w:rPr>
        <w:t xml:space="preserve">4、指导完成农村饮水安全工程建设管理工作、农村水能资源开发、小水电改造工作。 拟定水土保持规划并监督实施。                  </w:t>
      </w:r>
    </w:p>
    <w:p w14:paraId="691C8B95">
      <w:pPr>
        <w:spacing w:line="560" w:lineRule="exact"/>
        <w:ind w:firstLine="643"/>
        <w:rPr>
          <w:rFonts w:ascii="楷体" w:hAnsi="楷体" w:eastAsia="楷体"/>
          <w:b/>
          <w:sz w:val="32"/>
          <w:szCs w:val="32"/>
        </w:rPr>
      </w:pPr>
      <w:r>
        <w:rPr>
          <w:rFonts w:hint="eastAsia" w:ascii="楷体" w:hAnsi="楷体" w:eastAsia="楷体"/>
          <w:b/>
          <w:sz w:val="32"/>
          <w:szCs w:val="32"/>
        </w:rPr>
        <w:t>（四）部门年度整体收支情况</w:t>
      </w:r>
    </w:p>
    <w:p w14:paraId="1F6A1244">
      <w:pPr>
        <w:spacing w:line="560" w:lineRule="exact"/>
        <w:ind w:firstLine="640"/>
        <w:rPr>
          <w:rFonts w:ascii="仿宋" w:hAnsi="仿宋" w:eastAsia="仿宋"/>
          <w:sz w:val="32"/>
          <w:szCs w:val="32"/>
        </w:rPr>
      </w:pPr>
      <w:r>
        <w:rPr>
          <w:rFonts w:hint="eastAsia" w:ascii="仿宋" w:hAnsi="仿宋" w:eastAsia="仿宋"/>
          <w:sz w:val="32"/>
          <w:szCs w:val="32"/>
        </w:rPr>
        <w:t>1、收入的预决算情况。20</w:t>
      </w:r>
      <w:r>
        <w:rPr>
          <w:rFonts w:ascii="仿宋" w:hAnsi="仿宋" w:eastAsia="仿宋"/>
          <w:sz w:val="32"/>
          <w:szCs w:val="32"/>
        </w:rPr>
        <w:t>21</w:t>
      </w:r>
      <w:r>
        <w:rPr>
          <w:rFonts w:hint="eastAsia" w:ascii="仿宋" w:hAnsi="仿宋" w:eastAsia="仿宋"/>
          <w:sz w:val="32"/>
          <w:szCs w:val="32"/>
        </w:rPr>
        <w:t>年支出年初预算数为</w:t>
      </w:r>
      <w:r>
        <w:rPr>
          <w:rFonts w:ascii="仿宋" w:hAnsi="仿宋" w:eastAsia="仿宋"/>
          <w:sz w:val="32"/>
          <w:szCs w:val="32"/>
        </w:rPr>
        <w:t>5082.15</w:t>
      </w:r>
      <w:r>
        <w:rPr>
          <w:rFonts w:hint="eastAsia" w:ascii="仿宋" w:hAnsi="仿宋" w:eastAsia="仿宋"/>
          <w:sz w:val="32"/>
          <w:szCs w:val="32"/>
        </w:rPr>
        <w:t>万元，调整预算数为</w:t>
      </w:r>
      <w:r>
        <w:rPr>
          <w:rFonts w:ascii="仿宋" w:hAnsi="仿宋" w:eastAsia="仿宋"/>
          <w:sz w:val="32"/>
          <w:szCs w:val="32"/>
        </w:rPr>
        <w:t>3687.43</w:t>
      </w:r>
      <w:r>
        <w:rPr>
          <w:rFonts w:hint="eastAsia" w:ascii="仿宋" w:hAnsi="仿宋" w:eastAsia="仿宋"/>
          <w:sz w:val="32"/>
          <w:szCs w:val="32"/>
        </w:rPr>
        <w:t>万元，决算数为3</w:t>
      </w:r>
      <w:r>
        <w:rPr>
          <w:rFonts w:ascii="仿宋" w:hAnsi="仿宋" w:eastAsia="仿宋"/>
          <w:sz w:val="32"/>
          <w:szCs w:val="32"/>
        </w:rPr>
        <w:t>687.43</w:t>
      </w:r>
      <w:r>
        <w:rPr>
          <w:rFonts w:hint="eastAsia" w:ascii="仿宋" w:hAnsi="仿宋" w:eastAsia="仿宋"/>
          <w:sz w:val="32"/>
          <w:szCs w:val="32"/>
        </w:rPr>
        <w:t>万元，其中一般公共预算财政拨款收入3</w:t>
      </w:r>
      <w:r>
        <w:rPr>
          <w:rFonts w:ascii="仿宋" w:hAnsi="仿宋" w:eastAsia="仿宋"/>
          <w:sz w:val="32"/>
          <w:szCs w:val="32"/>
        </w:rPr>
        <w:t>687.43</w:t>
      </w:r>
      <w:r>
        <w:rPr>
          <w:rFonts w:hint="eastAsia" w:ascii="仿宋" w:hAnsi="仿宋" w:eastAsia="仿宋"/>
          <w:sz w:val="32"/>
          <w:szCs w:val="32"/>
        </w:rPr>
        <w:t>万元。</w:t>
      </w:r>
    </w:p>
    <w:p w14:paraId="082AA86E">
      <w:pPr>
        <w:spacing w:line="560" w:lineRule="exact"/>
        <w:ind w:firstLine="640"/>
        <w:rPr>
          <w:rFonts w:ascii="仿宋" w:hAnsi="仿宋" w:eastAsia="仿宋"/>
          <w:sz w:val="32"/>
          <w:szCs w:val="32"/>
        </w:rPr>
      </w:pPr>
      <w:r>
        <w:rPr>
          <w:rFonts w:hint="eastAsia" w:ascii="仿宋" w:hAnsi="仿宋" w:eastAsia="仿宋"/>
          <w:sz w:val="32"/>
          <w:szCs w:val="32"/>
        </w:rPr>
        <w:t>2、支出的预决算情况。20</w:t>
      </w:r>
      <w:r>
        <w:rPr>
          <w:rFonts w:ascii="仿宋" w:hAnsi="仿宋" w:eastAsia="仿宋"/>
          <w:sz w:val="32"/>
          <w:szCs w:val="32"/>
        </w:rPr>
        <w:t>21</w:t>
      </w:r>
      <w:r>
        <w:rPr>
          <w:rFonts w:hint="eastAsia" w:ascii="仿宋" w:hAnsi="仿宋" w:eastAsia="仿宋"/>
          <w:sz w:val="32"/>
          <w:szCs w:val="32"/>
        </w:rPr>
        <w:t>年支出预算数为5</w:t>
      </w:r>
      <w:r>
        <w:rPr>
          <w:rFonts w:ascii="仿宋" w:hAnsi="仿宋" w:eastAsia="仿宋"/>
          <w:sz w:val="32"/>
          <w:szCs w:val="32"/>
        </w:rPr>
        <w:t>082.15</w:t>
      </w:r>
      <w:r>
        <w:rPr>
          <w:rFonts w:hint="eastAsia" w:ascii="仿宋" w:hAnsi="仿宋" w:eastAsia="仿宋"/>
          <w:sz w:val="32"/>
          <w:szCs w:val="32"/>
        </w:rPr>
        <w:t>万元，支出预算调整数为3</w:t>
      </w:r>
      <w:r>
        <w:rPr>
          <w:rFonts w:ascii="仿宋" w:hAnsi="仿宋" w:eastAsia="仿宋"/>
          <w:sz w:val="32"/>
          <w:szCs w:val="32"/>
        </w:rPr>
        <w:t>687.43</w:t>
      </w:r>
      <w:r>
        <w:rPr>
          <w:rFonts w:hint="eastAsia" w:ascii="仿宋" w:hAnsi="仿宋" w:eastAsia="仿宋"/>
          <w:sz w:val="32"/>
          <w:szCs w:val="32"/>
        </w:rPr>
        <w:t>万元，支出决算数</w:t>
      </w:r>
      <w:r>
        <w:rPr>
          <w:rFonts w:ascii="仿宋" w:hAnsi="仿宋" w:eastAsia="仿宋"/>
          <w:sz w:val="32"/>
          <w:szCs w:val="32"/>
        </w:rPr>
        <w:t>3687.43</w:t>
      </w:r>
      <w:r>
        <w:rPr>
          <w:rFonts w:hint="eastAsia" w:ascii="仿宋" w:hAnsi="仿宋" w:eastAsia="仿宋"/>
          <w:sz w:val="32"/>
          <w:szCs w:val="32"/>
        </w:rPr>
        <w:t>万元，其中：基本支出6</w:t>
      </w:r>
      <w:r>
        <w:rPr>
          <w:rFonts w:ascii="仿宋" w:hAnsi="仿宋" w:eastAsia="仿宋"/>
          <w:sz w:val="32"/>
          <w:szCs w:val="32"/>
        </w:rPr>
        <w:t>54.91</w:t>
      </w:r>
      <w:r>
        <w:rPr>
          <w:rFonts w:hint="eastAsia" w:ascii="仿宋" w:hAnsi="仿宋" w:eastAsia="仿宋"/>
          <w:sz w:val="32"/>
          <w:szCs w:val="32"/>
        </w:rPr>
        <w:t>万元，占全年支出的</w:t>
      </w:r>
      <w:r>
        <w:rPr>
          <w:rFonts w:ascii="仿宋" w:hAnsi="仿宋" w:eastAsia="仿宋"/>
          <w:sz w:val="32"/>
          <w:szCs w:val="32"/>
        </w:rPr>
        <w:t>17.76</w:t>
      </w:r>
      <w:r>
        <w:rPr>
          <w:rFonts w:hint="eastAsia" w:ascii="仿宋" w:hAnsi="仿宋" w:eastAsia="仿宋"/>
          <w:sz w:val="32"/>
          <w:szCs w:val="32"/>
        </w:rPr>
        <w:t>%，基本支出中人员经费</w:t>
      </w:r>
      <w:r>
        <w:rPr>
          <w:rFonts w:ascii="仿宋" w:hAnsi="仿宋" w:eastAsia="仿宋"/>
          <w:sz w:val="32"/>
          <w:szCs w:val="32"/>
        </w:rPr>
        <w:t>578.84</w:t>
      </w:r>
      <w:r>
        <w:rPr>
          <w:rFonts w:hint="eastAsia" w:ascii="仿宋" w:hAnsi="仿宋" w:eastAsia="仿宋"/>
          <w:sz w:val="32"/>
          <w:szCs w:val="32"/>
        </w:rPr>
        <w:t>万元，占比</w:t>
      </w:r>
      <w:r>
        <w:rPr>
          <w:rFonts w:ascii="仿宋" w:hAnsi="仿宋" w:eastAsia="仿宋"/>
          <w:sz w:val="32"/>
          <w:szCs w:val="32"/>
        </w:rPr>
        <w:t>88.38</w:t>
      </w:r>
      <w:r>
        <w:rPr>
          <w:rFonts w:hint="eastAsia" w:ascii="仿宋" w:hAnsi="仿宋" w:eastAsia="仿宋"/>
          <w:sz w:val="32"/>
          <w:szCs w:val="32"/>
        </w:rPr>
        <w:t>%；日常公用经费</w:t>
      </w:r>
      <w:r>
        <w:rPr>
          <w:rFonts w:ascii="仿宋" w:hAnsi="仿宋" w:eastAsia="仿宋"/>
          <w:sz w:val="32"/>
          <w:szCs w:val="32"/>
        </w:rPr>
        <w:t>76.07</w:t>
      </w:r>
      <w:r>
        <w:rPr>
          <w:rFonts w:hint="eastAsia" w:ascii="仿宋" w:hAnsi="仿宋" w:eastAsia="仿宋"/>
          <w:sz w:val="32"/>
          <w:szCs w:val="32"/>
        </w:rPr>
        <w:t>万元，占比</w:t>
      </w:r>
      <w:r>
        <w:rPr>
          <w:rFonts w:ascii="仿宋" w:hAnsi="仿宋" w:eastAsia="仿宋"/>
          <w:sz w:val="32"/>
          <w:szCs w:val="32"/>
        </w:rPr>
        <w:t>11.62</w:t>
      </w:r>
      <w:r>
        <w:rPr>
          <w:rFonts w:hint="eastAsia" w:ascii="仿宋" w:hAnsi="仿宋" w:eastAsia="仿宋"/>
          <w:sz w:val="32"/>
          <w:szCs w:val="32"/>
        </w:rPr>
        <w:t>%，我局认真贯彻先有预算后有支出的原则，各项基本支出收支预算严格按照批复的项目、科目和金额执行，基本支出只用于人员经费、日常公用经费；项目支出3</w:t>
      </w:r>
      <w:r>
        <w:rPr>
          <w:rFonts w:ascii="仿宋" w:hAnsi="仿宋" w:eastAsia="仿宋"/>
          <w:sz w:val="32"/>
          <w:szCs w:val="32"/>
        </w:rPr>
        <w:t>032.53</w:t>
      </w:r>
      <w:r>
        <w:rPr>
          <w:rFonts w:hint="eastAsia" w:ascii="仿宋" w:hAnsi="仿宋" w:eastAsia="仿宋"/>
          <w:sz w:val="32"/>
          <w:szCs w:val="32"/>
        </w:rPr>
        <w:t>万元，占比</w:t>
      </w:r>
      <w:r>
        <w:rPr>
          <w:rFonts w:ascii="仿宋" w:hAnsi="仿宋" w:eastAsia="仿宋"/>
          <w:sz w:val="32"/>
          <w:szCs w:val="32"/>
        </w:rPr>
        <w:t>82.24</w:t>
      </w:r>
      <w:r>
        <w:rPr>
          <w:rFonts w:hint="eastAsia" w:ascii="仿宋" w:hAnsi="仿宋" w:eastAsia="仿宋"/>
          <w:sz w:val="32"/>
          <w:szCs w:val="32"/>
        </w:rPr>
        <w:t>%，其中水利设施建设项目支出</w:t>
      </w:r>
      <w:r>
        <w:rPr>
          <w:rFonts w:ascii="仿宋" w:hAnsi="仿宋" w:eastAsia="仿宋"/>
          <w:sz w:val="32"/>
          <w:szCs w:val="32"/>
        </w:rPr>
        <w:t>821.78</w:t>
      </w:r>
      <w:r>
        <w:rPr>
          <w:rFonts w:hint="eastAsia" w:ascii="仿宋" w:hAnsi="仿宋" w:eastAsia="仿宋"/>
          <w:sz w:val="32"/>
          <w:szCs w:val="32"/>
        </w:rPr>
        <w:t>万元、水利工程项目支出1</w:t>
      </w:r>
      <w:r>
        <w:rPr>
          <w:rFonts w:ascii="仿宋" w:hAnsi="仿宋" w:eastAsia="仿宋"/>
          <w:sz w:val="32"/>
          <w:szCs w:val="32"/>
        </w:rPr>
        <w:t>939.00</w:t>
      </w:r>
      <w:r>
        <w:rPr>
          <w:rFonts w:hint="eastAsia" w:ascii="仿宋" w:hAnsi="仿宋" w:eastAsia="仿宋"/>
          <w:sz w:val="32"/>
          <w:szCs w:val="32"/>
        </w:rPr>
        <w:t>万元、河湖长制支出</w:t>
      </w:r>
      <w:r>
        <w:rPr>
          <w:rFonts w:ascii="仿宋" w:hAnsi="仿宋" w:eastAsia="仿宋"/>
          <w:sz w:val="32"/>
          <w:szCs w:val="32"/>
        </w:rPr>
        <w:t>167.95</w:t>
      </w:r>
      <w:r>
        <w:rPr>
          <w:rFonts w:hint="eastAsia" w:ascii="仿宋" w:hAnsi="仿宋" w:eastAsia="仿宋"/>
          <w:sz w:val="32"/>
          <w:szCs w:val="32"/>
        </w:rPr>
        <w:t>万元、水旱灾害防御项目支出</w:t>
      </w:r>
      <w:r>
        <w:rPr>
          <w:rFonts w:ascii="仿宋" w:hAnsi="仿宋" w:eastAsia="仿宋"/>
          <w:sz w:val="32"/>
          <w:szCs w:val="32"/>
        </w:rPr>
        <w:t>41.16</w:t>
      </w:r>
      <w:r>
        <w:rPr>
          <w:rFonts w:hint="eastAsia" w:ascii="仿宋" w:hAnsi="仿宋" w:eastAsia="仿宋"/>
          <w:sz w:val="32"/>
          <w:szCs w:val="32"/>
        </w:rPr>
        <w:t>万元、龙门溪生态清洁小流域综合治理项目支出3</w:t>
      </w:r>
      <w:r>
        <w:rPr>
          <w:rFonts w:ascii="仿宋" w:hAnsi="仿宋" w:eastAsia="仿宋"/>
          <w:sz w:val="32"/>
          <w:szCs w:val="32"/>
        </w:rPr>
        <w:t>0.95</w:t>
      </w:r>
      <w:r>
        <w:rPr>
          <w:rFonts w:hint="eastAsia" w:ascii="仿宋" w:hAnsi="仿宋" w:eastAsia="仿宋"/>
          <w:sz w:val="32"/>
          <w:szCs w:val="32"/>
        </w:rPr>
        <w:t>万元、八项增收节支奖项目支出3</w:t>
      </w:r>
      <w:r>
        <w:rPr>
          <w:rFonts w:ascii="仿宋" w:hAnsi="仿宋" w:eastAsia="仿宋"/>
          <w:sz w:val="32"/>
          <w:szCs w:val="32"/>
        </w:rPr>
        <w:t>1.69</w:t>
      </w:r>
      <w:r>
        <w:rPr>
          <w:rFonts w:hint="eastAsia" w:ascii="仿宋" w:hAnsi="仿宋" w:eastAsia="仿宋"/>
          <w:sz w:val="32"/>
          <w:szCs w:val="32"/>
        </w:rPr>
        <w:t>万元。</w:t>
      </w:r>
    </w:p>
    <w:p w14:paraId="1777722A">
      <w:pPr>
        <w:spacing w:line="560" w:lineRule="exact"/>
        <w:ind w:firstLine="64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、“三公”经费的预决算执行及控制情况。20</w:t>
      </w:r>
      <w:r>
        <w:rPr>
          <w:rFonts w:ascii="仿宋" w:hAnsi="仿宋" w:eastAsia="仿宋"/>
          <w:sz w:val="32"/>
          <w:szCs w:val="32"/>
        </w:rPr>
        <w:t>21</w:t>
      </w:r>
      <w:r>
        <w:rPr>
          <w:rFonts w:hint="eastAsia" w:ascii="仿宋" w:hAnsi="仿宋" w:eastAsia="仿宋"/>
          <w:sz w:val="32"/>
          <w:szCs w:val="32"/>
        </w:rPr>
        <w:t>年度“三公”经费年预算数为</w:t>
      </w:r>
      <w:r>
        <w:rPr>
          <w:rFonts w:ascii="仿宋" w:hAnsi="仿宋" w:eastAsia="仿宋"/>
          <w:sz w:val="32"/>
          <w:szCs w:val="32"/>
        </w:rPr>
        <w:t>7.98</w:t>
      </w:r>
      <w:r>
        <w:rPr>
          <w:rFonts w:hint="eastAsia" w:ascii="仿宋" w:hAnsi="仿宋" w:eastAsia="仿宋"/>
          <w:sz w:val="32"/>
          <w:szCs w:val="32"/>
        </w:rPr>
        <w:t>万元，调整预算数</w:t>
      </w:r>
      <w:r>
        <w:rPr>
          <w:rFonts w:ascii="仿宋" w:hAnsi="仿宋" w:eastAsia="仿宋"/>
          <w:sz w:val="32"/>
          <w:szCs w:val="32"/>
        </w:rPr>
        <w:t>5.7</w:t>
      </w:r>
      <w:r>
        <w:rPr>
          <w:rFonts w:hint="eastAsia" w:ascii="仿宋" w:hAnsi="仿宋" w:eastAsia="仿宋"/>
          <w:sz w:val="32"/>
          <w:szCs w:val="32"/>
        </w:rPr>
        <w:t>万元，决算数</w:t>
      </w:r>
      <w:r>
        <w:rPr>
          <w:rFonts w:ascii="仿宋" w:hAnsi="仿宋" w:eastAsia="仿宋"/>
          <w:sz w:val="32"/>
          <w:szCs w:val="32"/>
        </w:rPr>
        <w:t>5.7</w:t>
      </w:r>
      <w:r>
        <w:rPr>
          <w:rFonts w:hint="eastAsia" w:ascii="仿宋" w:hAnsi="仿宋" w:eastAsia="仿宋"/>
          <w:sz w:val="32"/>
          <w:szCs w:val="32"/>
        </w:rPr>
        <w:t>万元，控制率100%。“三公”经费决算数与预算数持平。</w:t>
      </w:r>
    </w:p>
    <w:p w14:paraId="444C9977">
      <w:pPr>
        <w:spacing w:line="560" w:lineRule="exact"/>
        <w:ind w:firstLine="640"/>
        <w:rPr>
          <w:rFonts w:ascii="仿宋" w:hAnsi="仿宋" w:eastAsia="仿宋"/>
          <w:sz w:val="32"/>
          <w:szCs w:val="32"/>
        </w:rPr>
      </w:pPr>
      <w:r>
        <w:rPr>
          <w:rFonts w:hint="eastAsia" w:ascii="仿宋" w:hAnsi="仿宋" w:eastAsia="仿宋"/>
          <w:sz w:val="32"/>
          <w:szCs w:val="32"/>
        </w:rPr>
        <w:t>4、专项资金的管理情况。我县在专项资金管理使用上按计划、按预算安排分配和使用，专项资金使用严格按照财政预算管理和政府采购和招投标相关程序规定，依法办理相关手续，严格程序管理。实行专款专用，切实提高水利资金使用效益。项目建立台账，对资金实行全程监控，对整个项目建设过程实行跟踪管理。建立了完善的资金审批程序，制定了切实可行的实施方案，方案经批准后，不得随意更改，杜绝了资金的无序支出。</w:t>
      </w:r>
    </w:p>
    <w:p w14:paraId="796415E7">
      <w:pPr>
        <w:spacing w:line="560" w:lineRule="exact"/>
        <w:ind w:firstLine="640"/>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5</w:t>
      </w:r>
      <w:r>
        <w:rPr>
          <w:rFonts w:hint="eastAsia" w:ascii="仿宋" w:hAnsi="仿宋" w:eastAsia="仿宋"/>
          <w:sz w:val="32"/>
          <w:szCs w:val="32"/>
        </w:rPr>
        <w:t>、政府采购情况。2021</w:t>
      </w:r>
      <w:r>
        <w:rPr>
          <w:rFonts w:ascii="仿宋" w:hAnsi="仿宋" w:eastAsia="仿宋"/>
          <w:sz w:val="32"/>
          <w:szCs w:val="32"/>
        </w:rPr>
        <w:t>年本部门政府采购总额842.25万元，其中，货物类采购预算3.01万元；工程类采购预算477.52万元；服务类采购预算361.72万元。</w:t>
      </w:r>
    </w:p>
    <w:p w14:paraId="0CB8185E">
      <w:pPr>
        <w:spacing w:line="560" w:lineRule="exact"/>
        <w:ind w:firstLine="643"/>
        <w:rPr>
          <w:rFonts w:ascii="楷体" w:hAnsi="楷体" w:eastAsia="楷体"/>
          <w:b/>
          <w:sz w:val="32"/>
          <w:szCs w:val="32"/>
        </w:rPr>
      </w:pPr>
      <w:r>
        <w:rPr>
          <w:rFonts w:hint="eastAsia" w:ascii="楷体" w:hAnsi="楷体" w:eastAsia="楷体"/>
          <w:b/>
          <w:sz w:val="32"/>
          <w:szCs w:val="32"/>
        </w:rPr>
        <w:t>（五）部门年度整体工作目标任务完成情况</w:t>
      </w:r>
    </w:p>
    <w:p w14:paraId="2ED6B219">
      <w:pPr>
        <w:spacing w:line="560" w:lineRule="exact"/>
        <w:ind w:firstLine="640"/>
        <w:rPr>
          <w:rFonts w:ascii="仿宋" w:hAnsi="仿宋" w:eastAsia="仿宋"/>
          <w:sz w:val="32"/>
          <w:szCs w:val="32"/>
        </w:rPr>
      </w:pPr>
      <w:r>
        <w:rPr>
          <w:rFonts w:hint="eastAsia" w:ascii="仿宋" w:hAnsi="仿宋" w:eastAsia="仿宋"/>
          <w:sz w:val="32"/>
          <w:szCs w:val="32"/>
        </w:rPr>
        <w:t>1.积极开展中小河流治理。完成建设总投资为1200万元的湖南省沅水干流中方县铜鼎镇岸坡整治工程，治理长度1.385km；完成总投资为1492万元的湖南省沅水干流中方县四方井岸坡整治工程，治理长度1.8公里；完成建设总投资为939万元的龙门河中小河流二期治理工程，治理河道长度3.5km。</w:t>
      </w:r>
    </w:p>
    <w:p w14:paraId="61213779">
      <w:pPr>
        <w:spacing w:line="560" w:lineRule="exact"/>
        <w:ind w:firstLine="640"/>
        <w:rPr>
          <w:rFonts w:ascii="仿宋" w:hAnsi="仿宋" w:eastAsia="仿宋"/>
          <w:sz w:val="32"/>
          <w:szCs w:val="32"/>
        </w:rPr>
      </w:pPr>
      <w:r>
        <w:rPr>
          <w:rFonts w:hint="eastAsia" w:ascii="仿宋" w:hAnsi="仿宋" w:eastAsia="仿宋"/>
          <w:sz w:val="32"/>
          <w:szCs w:val="32"/>
        </w:rPr>
        <w:t>2.全力开展水库除险加固。全县102座灌溉为主的小型水库中已全面完成77座规划内小型病险水库除险加固，规划外的25座小型病险水库由于原来只对输水系统进行了除险加固，继续向省厅进行了申报，今年下达除险加固实施计划1座为毛田水库，目前正在送财政评审，争取11月初开工，明年5月底完成除险加固建设任务，其余的病险水库计划在</w:t>
      </w:r>
      <w:r>
        <w:rPr>
          <w:rFonts w:hint="eastAsia" w:ascii="仿宋" w:hAnsi="仿宋" w:eastAsia="仿宋"/>
          <w:sz w:val="32"/>
          <w:szCs w:val="32"/>
          <w:lang w:eastAsia="zh-CN"/>
        </w:rPr>
        <w:t>“</w:t>
      </w:r>
      <w:r>
        <w:rPr>
          <w:rFonts w:hint="eastAsia" w:ascii="仿宋" w:hAnsi="仿宋" w:eastAsia="仿宋"/>
          <w:sz w:val="32"/>
          <w:szCs w:val="32"/>
        </w:rPr>
        <w:t>十四五</w:t>
      </w:r>
      <w:r>
        <w:rPr>
          <w:rFonts w:hint="eastAsia" w:ascii="仿宋" w:hAnsi="仿宋" w:eastAsia="仿宋"/>
          <w:sz w:val="32"/>
          <w:szCs w:val="32"/>
          <w:lang w:eastAsia="zh-CN"/>
        </w:rPr>
        <w:t>”</w:t>
      </w:r>
      <w:r>
        <w:rPr>
          <w:rFonts w:hint="eastAsia" w:ascii="仿宋" w:hAnsi="仿宋" w:eastAsia="仿宋"/>
          <w:sz w:val="32"/>
          <w:szCs w:val="32"/>
        </w:rPr>
        <w:t>期间进行全面清除隐患。新建水库泸阳镇大冲垄水库作为怀化市主城区应急水源工程，目前已完成大坝主体工程施工，累计完成投资约10360万元，目前工程投资累计完成约5560万元，完成工程投资进度约90%。</w:t>
      </w:r>
    </w:p>
    <w:p w14:paraId="7AECDA39">
      <w:pPr>
        <w:spacing w:line="560" w:lineRule="exact"/>
        <w:ind w:firstLine="640"/>
        <w:rPr>
          <w:rFonts w:ascii="仿宋" w:hAnsi="仿宋" w:eastAsia="仿宋"/>
          <w:sz w:val="32"/>
          <w:szCs w:val="32"/>
        </w:rPr>
      </w:pPr>
      <w:r>
        <w:rPr>
          <w:rFonts w:hint="eastAsia" w:ascii="仿宋" w:hAnsi="仿宋" w:eastAsia="仿宋"/>
          <w:sz w:val="32"/>
          <w:szCs w:val="32"/>
        </w:rPr>
        <w:t>3.持续夯实农田水利基础。争取中央水毁工程维修专项资金260万元，对全县14处重点水毁工程进行修复；争取县级财政资金440万元，实施“7.3“洪灾水毁项目76处，目前，已全面竣工验收。</w:t>
      </w:r>
    </w:p>
    <w:p w14:paraId="6A68A0E6">
      <w:pPr>
        <w:spacing w:line="560" w:lineRule="exact"/>
        <w:ind w:firstLine="640"/>
        <w:rPr>
          <w:rFonts w:ascii="仿宋" w:hAnsi="仿宋" w:eastAsia="仿宋"/>
          <w:sz w:val="32"/>
          <w:szCs w:val="32"/>
        </w:rPr>
      </w:pPr>
      <w:r>
        <w:rPr>
          <w:rFonts w:hint="eastAsia" w:ascii="仿宋" w:hAnsi="仿宋" w:eastAsia="仿宋"/>
          <w:sz w:val="32"/>
          <w:szCs w:val="32"/>
        </w:rPr>
        <w:t>4.不断完善水库运行管护机制。按规定定期开展了我县111座水库（其中，大中型4座，电站水库8座）的安全鉴定，全县所有水库安全鉴定都在有效期内；对全县农村分散管理的公益性为主的102座小型水库分三个年度推进属地政府为管护主体的“区域集中管护“模式；完成了我县23座大中型及重点小（一）型水库划界方案编制工作并经县政府审批公示；投入65万元，启动82座小（2）型水库划界工作，争取年底前完成小型水库划界方案编制和审查工作；按省、市下达计划，编制并申报了39座小型水库雨水情及大坝安全监测、监控设施建设方案（其中，雨水情设施建设：25座小（1）型和14座小（2）型，大坝安全监测、监控设施建设为25座小（1）型水库）；完成全县107座小型水库的养护工作，争取省级养护资金152万元。</w:t>
      </w:r>
    </w:p>
    <w:p w14:paraId="57ACA717">
      <w:pPr>
        <w:spacing w:line="560" w:lineRule="exact"/>
        <w:ind w:firstLine="640"/>
        <w:rPr>
          <w:rFonts w:ascii="仿宋" w:hAnsi="仿宋" w:eastAsia="仿宋"/>
          <w:sz w:val="32"/>
          <w:szCs w:val="32"/>
        </w:rPr>
      </w:pPr>
      <w:r>
        <w:rPr>
          <w:rFonts w:hint="eastAsia" w:ascii="仿宋" w:hAnsi="仿宋" w:eastAsia="仿宋"/>
          <w:sz w:val="32"/>
          <w:szCs w:val="32"/>
        </w:rPr>
        <w:t>5.夯实项目申报和储备工作。本年度向省厅申报小型水库除险加固工程7座（2座规划内，5座增补项目），计划在2021年~2025年内全面完成全县小型水库除险加固任务；积极申报小型水库大坝安全监测设施和水雨情观测设施107座；申报四水治理项目和中小河流项目，并完成沅水张家溪段、舞水河段和太平溪和平村段的前期设计工作；再次申报农村水系连通项目和中型灌区续建配套项目。</w:t>
      </w:r>
    </w:p>
    <w:p w14:paraId="6E957AF0">
      <w:pPr>
        <w:spacing w:line="560" w:lineRule="exact"/>
        <w:ind w:firstLine="640"/>
        <w:rPr>
          <w:rFonts w:ascii="仿宋" w:hAnsi="仿宋" w:eastAsia="仿宋"/>
          <w:sz w:val="32"/>
          <w:szCs w:val="32"/>
        </w:rPr>
      </w:pPr>
      <w:r>
        <w:rPr>
          <w:rFonts w:hint="eastAsia" w:ascii="仿宋" w:hAnsi="仿宋" w:eastAsia="仿宋"/>
          <w:sz w:val="32"/>
          <w:szCs w:val="32"/>
        </w:rPr>
        <w:t xml:space="preserve"> 6.全面推进河长制。一是完善责任体系，落实长效机制。县委常委会、政府常务会多次专题研究部署全县河长制工作。县委书记、第一总河长张家铣兼任㵲水河河长，县长、县总河长胡杰兼任沅水河河长，各县委常委、副县长分别担任一条县级河流河长。今年，由以往15位县级河长增设至21位，由28个县直成员单位增至31个。县委书记张家铣、县长胡杰每月带头巡河，123位乡镇级河长积极落实每月3次巡河制度，今年7月，我县乡镇级河长巡河率首次突破90%以上。二是强化考核督查，严格责任追究。去年以来，县河长办采取明督查、暗走访的方式开展对各级河长履职尽责、各乡镇河长制工作日常工作开展情况、成员单位重点任务完成情况、河湖“四乱”等方面进行督查、考核。今年5月起，县河长办加大督查检查力度，从以往每季度督查改为每月督查，并将月督查通报报各县级河长及各成员单位。三是强化整改治理，优化生态环境。我县始终坚持河长牵头、上下联动、长效治理、全民共治，强力推进中方县河流综合治理。今年2月24日，我县开展县城饮用水源保护百日攻坚“利箭行动”誓师大会，通过以“河长制”为抓手，开展联合执法、综合整治、网格化管理等措施，确保饮用水水源水质优良、饮水安全；全县扎实开展河湖“清四乱”，截止目前，共排查“四乱”问题6个，现已整改销号3个；截止目前，县级河长、县河长办共交办各类涉河问题71个，已整改销号61个；中央和省环保督察交办件办结销号率100%，污染防治攻坚战和“夏季攻势”7项工作任务按期交卷；全面推进长江流域禁捕退捕工作，全县154户持证渔民实现退捕上岸，退捕率达到100%，累计核实补偿资金302.55万元；完成铜湾、铜鼎、花桥磷矿污水处理厂建设，今年将加快完成建设桐木镇、新路河镇、花桥镇3座乡镇污水处理厂；关停非法砂石码头共14处；完成37座小水电清理整改；完成水利春冬修和水毁工程修复58处；实施农村安全饮水工程445处、解决农村饮水安全25867户11.64万人；完成人工造林1.5万亩，封山育林2万亩；完成泸阳镇泸阳村、下坪村、五里村3个村的生活污水治理项目建设任务；建成12个乡镇农村生活垃圾收转运站139处；完成农村厕所改造1979座；全县共治理污染耕地18071亩，实现耕地安全利用率95%。四是强化工作责任，抓实专项工作。扎实开展湖南省卫星遥感沅水河疑似河湖“四乱”问题核查整改工作，我县沅水河疑似“四乱”问题共40处，其中包括疑似岸线建筑16处、疑似非法网箱养殖19处、疑似非法矮围建设1处、疑似非法堆砂2处、疑似非法动土沅水2处。经现场核实，确认属实的“四乱”问题共21个，其中：网箱养殖19处，非法矮围1处，岸线建筑1处，截至9月15日我县“四乱”问题已全部整改到位，共拆除网箱19处（含钓鱼平台3处），网箱812口、面积31322平方米；共转运及处理鱼苗鱼种和商品鱼80余万斤，其中处理商品鱼65余万斤，转运鱼苗鱼种15万余斤（其中养殖户自行转运鱼苗鱼种7万余斤，县政府帮助转运 8万余斤）。</w:t>
      </w:r>
    </w:p>
    <w:p w14:paraId="457E8450">
      <w:pPr>
        <w:spacing w:line="560" w:lineRule="exact"/>
        <w:ind w:firstLine="640"/>
        <w:rPr>
          <w:sz w:val="32"/>
          <w:szCs w:val="32"/>
        </w:rPr>
      </w:pPr>
      <w:r>
        <w:rPr>
          <w:rFonts w:hint="eastAsia"/>
          <w:sz w:val="32"/>
          <w:szCs w:val="32"/>
        </w:rPr>
        <w:t>二、部门整体评价工作开展</w:t>
      </w:r>
    </w:p>
    <w:p w14:paraId="7B761A40">
      <w:pPr>
        <w:spacing w:line="560" w:lineRule="exact"/>
        <w:ind w:firstLine="643"/>
        <w:rPr>
          <w:rFonts w:ascii="楷体" w:hAnsi="楷体" w:eastAsia="楷体"/>
          <w:b/>
          <w:sz w:val="32"/>
          <w:szCs w:val="32"/>
        </w:rPr>
      </w:pPr>
      <w:r>
        <w:rPr>
          <w:rFonts w:hint="eastAsia" w:ascii="楷体" w:hAnsi="楷体" w:eastAsia="楷体"/>
          <w:b/>
          <w:sz w:val="32"/>
          <w:szCs w:val="32"/>
        </w:rPr>
        <w:t>（一）绩效评价实施过程情况</w:t>
      </w:r>
    </w:p>
    <w:p w14:paraId="3B6B5862">
      <w:pPr>
        <w:spacing w:line="560" w:lineRule="exact"/>
        <w:ind w:firstLine="643"/>
        <w:rPr>
          <w:rFonts w:ascii="仿宋" w:hAnsi="仿宋" w:eastAsia="仿宋"/>
          <w:sz w:val="32"/>
          <w:szCs w:val="32"/>
        </w:rPr>
      </w:pPr>
      <w:r>
        <w:rPr>
          <w:rFonts w:hint="eastAsia" w:ascii="仿宋" w:hAnsi="仿宋" w:eastAsia="仿宋"/>
          <w:b/>
          <w:sz w:val="32"/>
          <w:szCs w:val="32"/>
        </w:rPr>
        <w:t>1、评价原则。</w:t>
      </w:r>
      <w:r>
        <w:rPr>
          <w:rFonts w:hint="eastAsia" w:ascii="仿宋" w:hAnsi="仿宋" w:eastAsia="仿宋"/>
          <w:sz w:val="32"/>
          <w:szCs w:val="32"/>
        </w:rPr>
        <w:t>此次绩效评价工作遵循科学规范、公开公正、分级分类和绩效相关的原则。</w:t>
      </w:r>
    </w:p>
    <w:p w14:paraId="4823E7EF">
      <w:pPr>
        <w:spacing w:line="560" w:lineRule="exact"/>
        <w:ind w:firstLine="643"/>
        <w:rPr>
          <w:rFonts w:ascii="仿宋" w:hAnsi="仿宋" w:eastAsia="仿宋"/>
          <w:sz w:val="32"/>
          <w:szCs w:val="32"/>
        </w:rPr>
      </w:pPr>
      <w:r>
        <w:rPr>
          <w:rFonts w:hint="eastAsia" w:ascii="仿宋" w:hAnsi="仿宋" w:eastAsia="仿宋"/>
          <w:b/>
          <w:sz w:val="32"/>
          <w:szCs w:val="32"/>
        </w:rPr>
        <w:t>2、评价依据。</w:t>
      </w:r>
      <w:r>
        <w:rPr>
          <w:rFonts w:hint="eastAsia" w:ascii="仿宋" w:hAnsi="仿宋" w:eastAsia="仿宋"/>
          <w:sz w:val="32"/>
          <w:szCs w:val="32"/>
        </w:rPr>
        <w:t>此次绩效评价的依据包括：《中共中央国务院关于全面实施预算绩效管理的意见》、中共湖南省委办公厅湖南省人民政府办公厅关于全面实施预算绩效管理的实施意见》（湘办发〔2019〕10号）、《湖南省水利发展资金管理办法》（湘财农［201</w:t>
      </w:r>
      <w:r>
        <w:rPr>
          <w:rFonts w:ascii="仿宋" w:hAnsi="仿宋" w:eastAsia="仿宋"/>
          <w:sz w:val="32"/>
          <w:szCs w:val="32"/>
        </w:rPr>
        <w:t>9</w:t>
      </w:r>
      <w:r>
        <w:rPr>
          <w:rFonts w:hint="eastAsia" w:ascii="仿宋" w:hAnsi="仿宋" w:eastAsia="仿宋"/>
          <w:sz w:val="32"/>
          <w:szCs w:val="32"/>
        </w:rPr>
        <w:t>］</w:t>
      </w:r>
      <w:r>
        <w:rPr>
          <w:rFonts w:ascii="仿宋" w:hAnsi="仿宋" w:eastAsia="仿宋"/>
          <w:sz w:val="32"/>
          <w:szCs w:val="32"/>
        </w:rPr>
        <w:t>59</w:t>
      </w:r>
      <w:r>
        <w:rPr>
          <w:rFonts w:hint="eastAsia" w:ascii="仿宋" w:hAnsi="仿宋" w:eastAsia="仿宋"/>
          <w:sz w:val="32"/>
          <w:szCs w:val="32"/>
        </w:rPr>
        <w:t>号）、《关于开展2021年度部门整体支出绩效自评工作的通知》（中财绩[2</w:t>
      </w:r>
      <w:r>
        <w:rPr>
          <w:rFonts w:ascii="仿宋" w:hAnsi="仿宋" w:eastAsia="仿宋"/>
          <w:sz w:val="32"/>
          <w:szCs w:val="32"/>
        </w:rPr>
        <w:t>022</w:t>
      </w:r>
      <w:r>
        <w:rPr>
          <w:rFonts w:hint="eastAsia" w:ascii="仿宋" w:hAnsi="仿宋" w:eastAsia="仿宋"/>
          <w:sz w:val="32"/>
          <w:szCs w:val="32"/>
        </w:rPr>
        <w:t>]1</w:t>
      </w:r>
      <w:r>
        <w:rPr>
          <w:rFonts w:ascii="仿宋" w:hAnsi="仿宋" w:eastAsia="仿宋"/>
          <w:sz w:val="32"/>
          <w:szCs w:val="32"/>
        </w:rPr>
        <w:t>2</w:t>
      </w:r>
      <w:r>
        <w:rPr>
          <w:rFonts w:hint="eastAsia" w:ascii="仿宋" w:hAnsi="仿宋" w:eastAsia="仿宋"/>
          <w:sz w:val="32"/>
          <w:szCs w:val="32"/>
        </w:rPr>
        <w:t>号）、《关于开展2021年度财政项目支出绩效自评工作的通知》（中财绩〔20</w:t>
      </w:r>
      <w:r>
        <w:rPr>
          <w:rFonts w:ascii="仿宋" w:hAnsi="仿宋" w:eastAsia="仿宋"/>
          <w:sz w:val="32"/>
          <w:szCs w:val="32"/>
        </w:rPr>
        <w:t>22</w:t>
      </w:r>
      <w:r>
        <w:rPr>
          <w:rFonts w:hint="eastAsia" w:ascii="仿宋" w:hAnsi="仿宋" w:eastAsia="仿宋"/>
          <w:sz w:val="32"/>
          <w:szCs w:val="32"/>
        </w:rPr>
        <w:t>〕</w:t>
      </w:r>
      <w:r>
        <w:rPr>
          <w:rFonts w:ascii="仿宋" w:hAnsi="仿宋" w:eastAsia="仿宋"/>
          <w:sz w:val="32"/>
          <w:szCs w:val="32"/>
        </w:rPr>
        <w:t>13</w:t>
      </w:r>
      <w:r>
        <w:rPr>
          <w:rFonts w:hint="eastAsia" w:ascii="仿宋" w:hAnsi="仿宋" w:eastAsia="仿宋"/>
          <w:sz w:val="32"/>
          <w:szCs w:val="32"/>
        </w:rPr>
        <w:t>号）及其他相关资料。</w:t>
      </w:r>
    </w:p>
    <w:p w14:paraId="5B443BD5">
      <w:pPr>
        <w:spacing w:line="560" w:lineRule="exact"/>
        <w:ind w:firstLine="643"/>
        <w:rPr>
          <w:rFonts w:ascii="仿宋" w:hAnsi="仿宋" w:eastAsia="仿宋"/>
          <w:sz w:val="32"/>
          <w:szCs w:val="32"/>
        </w:rPr>
      </w:pPr>
      <w:r>
        <w:rPr>
          <w:rFonts w:hint="eastAsia" w:ascii="仿宋" w:hAnsi="仿宋" w:eastAsia="仿宋"/>
          <w:b/>
          <w:sz w:val="32"/>
          <w:szCs w:val="32"/>
        </w:rPr>
        <w:t>3、评价方法。</w:t>
      </w:r>
      <w:r>
        <w:rPr>
          <w:rFonts w:hint="eastAsia" w:ascii="仿宋" w:hAnsi="仿宋" w:eastAsia="仿宋"/>
          <w:sz w:val="32"/>
          <w:szCs w:val="32"/>
        </w:rPr>
        <w:t>此次绩效评价主要采用比较法、公众评价法、定量分析与定性分析相结合的评价方法。</w:t>
      </w:r>
    </w:p>
    <w:p w14:paraId="1E7A2AF7">
      <w:pPr>
        <w:spacing w:line="560" w:lineRule="exact"/>
        <w:ind w:firstLine="643"/>
        <w:rPr>
          <w:rFonts w:ascii="仿宋" w:hAnsi="仿宋" w:eastAsia="仿宋"/>
          <w:sz w:val="32"/>
          <w:szCs w:val="32"/>
        </w:rPr>
      </w:pPr>
      <w:r>
        <w:rPr>
          <w:rFonts w:hint="eastAsia" w:ascii="仿宋" w:hAnsi="仿宋" w:eastAsia="仿宋"/>
          <w:b/>
          <w:sz w:val="32"/>
          <w:szCs w:val="32"/>
        </w:rPr>
        <w:t>4、绩效评价工作过程。</w:t>
      </w:r>
      <w:r>
        <w:rPr>
          <w:rFonts w:hint="eastAsia" w:ascii="仿宋" w:hAnsi="仿宋" w:eastAsia="仿宋"/>
          <w:sz w:val="32"/>
          <w:szCs w:val="32"/>
        </w:rPr>
        <w:t>（1）收集整理相关评价资料，调查核实评价基础数据，填写评价基础数据表；（2）评价工作组赴各乡（镇）对项目实施情况进行现场抽查，与镇、村干部及村民代表座谈并进行问卷调查。现场查看了部分已实施项目；（3）根据评价指标计算各项得分，汇总评价结果,并撰写自评报告。</w:t>
      </w:r>
    </w:p>
    <w:p w14:paraId="292BCF14">
      <w:pPr>
        <w:spacing w:line="560" w:lineRule="exact"/>
        <w:ind w:firstLine="643"/>
        <w:rPr>
          <w:rFonts w:ascii="仿宋" w:hAnsi="仿宋" w:eastAsia="仿宋"/>
          <w:sz w:val="32"/>
          <w:szCs w:val="32"/>
        </w:rPr>
      </w:pPr>
      <w:r>
        <w:rPr>
          <w:rFonts w:hint="eastAsia" w:ascii="楷体" w:hAnsi="楷体" w:eastAsia="楷体"/>
          <w:b/>
          <w:sz w:val="32"/>
          <w:szCs w:val="32"/>
        </w:rPr>
        <w:t>（二）绩效评价整体结果概况</w:t>
      </w:r>
    </w:p>
    <w:p w14:paraId="612E24BB">
      <w:pPr>
        <w:spacing w:line="560" w:lineRule="exact"/>
        <w:ind w:firstLine="643"/>
        <w:rPr>
          <w:rFonts w:ascii="仿宋" w:hAnsi="仿宋" w:eastAsia="仿宋"/>
          <w:sz w:val="32"/>
          <w:szCs w:val="32"/>
        </w:rPr>
      </w:pPr>
      <w:r>
        <w:rPr>
          <w:rFonts w:hint="eastAsia" w:ascii="仿宋" w:hAnsi="仿宋" w:eastAsia="仿宋"/>
          <w:b/>
          <w:sz w:val="32"/>
          <w:szCs w:val="32"/>
        </w:rPr>
        <w:t>1、得分情况。</w:t>
      </w:r>
      <w:r>
        <w:rPr>
          <w:rFonts w:hint="eastAsia" w:ascii="仿宋" w:hAnsi="仿宋" w:eastAsia="仿宋"/>
          <w:sz w:val="32"/>
          <w:szCs w:val="32"/>
        </w:rPr>
        <w:t>我局高度重视绩效评价结果的应用工作，积极探索和建立一套与预算管理相结合、多渠道应用评价结果的有效机制，着力提高绩效意识和财政资金使用效益。同时，按照县财政部门统一部署，我局20</w:t>
      </w:r>
      <w:r>
        <w:rPr>
          <w:rFonts w:ascii="仿宋" w:hAnsi="仿宋" w:eastAsia="仿宋"/>
          <w:sz w:val="32"/>
          <w:szCs w:val="32"/>
        </w:rPr>
        <w:t>21</w:t>
      </w:r>
      <w:r>
        <w:rPr>
          <w:rFonts w:hint="eastAsia" w:ascii="仿宋" w:hAnsi="仿宋" w:eastAsia="仿宋"/>
          <w:sz w:val="32"/>
          <w:szCs w:val="32"/>
        </w:rPr>
        <w:t>年度部门整体支出绩效自评情况将在中方县政府门户网站公开，接受社会监督。根据部门整体支出绩效评价要求、设定的评分标准，20</w:t>
      </w:r>
      <w:r>
        <w:rPr>
          <w:rFonts w:ascii="仿宋" w:hAnsi="仿宋" w:eastAsia="仿宋"/>
          <w:sz w:val="32"/>
          <w:szCs w:val="32"/>
        </w:rPr>
        <w:t>21</w:t>
      </w:r>
      <w:r>
        <w:rPr>
          <w:rFonts w:hint="eastAsia" w:ascii="仿宋" w:hAnsi="仿宋" w:eastAsia="仿宋"/>
          <w:sz w:val="32"/>
          <w:szCs w:val="32"/>
        </w:rPr>
        <w:t>年度我局自评综合得分为</w:t>
      </w:r>
      <w:r>
        <w:rPr>
          <w:rFonts w:ascii="仿宋" w:hAnsi="仿宋" w:eastAsia="仿宋"/>
          <w:sz w:val="32"/>
          <w:szCs w:val="32"/>
        </w:rPr>
        <w:t>83.68</w:t>
      </w:r>
      <w:r>
        <w:rPr>
          <w:rFonts w:hint="eastAsia" w:ascii="仿宋" w:hAnsi="仿宋" w:eastAsia="仿宋"/>
          <w:sz w:val="32"/>
          <w:szCs w:val="32"/>
        </w:rPr>
        <w:t>分、评价结果为良好。</w:t>
      </w:r>
    </w:p>
    <w:p w14:paraId="342912F4">
      <w:pPr>
        <w:spacing w:line="560" w:lineRule="exact"/>
        <w:ind w:firstLine="643"/>
        <w:rPr>
          <w:rFonts w:ascii="仿宋" w:hAnsi="仿宋" w:eastAsia="仿宋"/>
          <w:sz w:val="32"/>
          <w:szCs w:val="32"/>
        </w:rPr>
      </w:pPr>
      <w:r>
        <w:rPr>
          <w:rFonts w:hint="eastAsia" w:ascii="仿宋" w:hAnsi="仿宋" w:eastAsia="仿宋"/>
          <w:b/>
          <w:sz w:val="32"/>
          <w:szCs w:val="32"/>
        </w:rPr>
        <w:t>2、预算编制和执行情况。</w:t>
      </w:r>
      <w:r>
        <w:rPr>
          <w:rFonts w:hint="eastAsia" w:ascii="仿宋" w:hAnsi="仿宋" w:eastAsia="仿宋"/>
          <w:sz w:val="32"/>
          <w:szCs w:val="32"/>
        </w:rPr>
        <w:t>20</w:t>
      </w:r>
      <w:r>
        <w:rPr>
          <w:rFonts w:ascii="仿宋" w:hAnsi="仿宋" w:eastAsia="仿宋"/>
          <w:sz w:val="32"/>
          <w:szCs w:val="32"/>
        </w:rPr>
        <w:t>21</w:t>
      </w:r>
      <w:r>
        <w:rPr>
          <w:rFonts w:hint="eastAsia" w:ascii="仿宋" w:hAnsi="仿宋" w:eastAsia="仿宋"/>
          <w:sz w:val="32"/>
          <w:szCs w:val="32"/>
        </w:rPr>
        <w:t>年初收入预算数为</w:t>
      </w:r>
      <w:r>
        <w:rPr>
          <w:rFonts w:ascii="仿宋" w:hAnsi="仿宋" w:eastAsia="仿宋"/>
          <w:sz w:val="32"/>
          <w:szCs w:val="32"/>
        </w:rPr>
        <w:t>5082.15</w:t>
      </w:r>
      <w:r>
        <w:rPr>
          <w:rFonts w:hint="eastAsia" w:ascii="仿宋" w:hAnsi="仿宋" w:eastAsia="仿宋"/>
          <w:sz w:val="32"/>
          <w:szCs w:val="32"/>
        </w:rPr>
        <w:t>万元，全年执行数为3</w:t>
      </w:r>
      <w:r>
        <w:rPr>
          <w:rFonts w:ascii="仿宋" w:hAnsi="仿宋" w:eastAsia="仿宋"/>
          <w:sz w:val="32"/>
          <w:szCs w:val="32"/>
        </w:rPr>
        <w:t>687.43</w:t>
      </w:r>
      <w:r>
        <w:rPr>
          <w:rFonts w:hint="eastAsia" w:ascii="仿宋" w:hAnsi="仿宋" w:eastAsia="仿宋"/>
          <w:sz w:val="32"/>
          <w:szCs w:val="32"/>
        </w:rPr>
        <w:t>万元，其中一般公共预算财政拨款收入3</w:t>
      </w:r>
      <w:r>
        <w:rPr>
          <w:rFonts w:ascii="仿宋" w:hAnsi="仿宋" w:eastAsia="仿宋"/>
          <w:sz w:val="32"/>
          <w:szCs w:val="32"/>
        </w:rPr>
        <w:t>687.43</w:t>
      </w:r>
      <w:r>
        <w:rPr>
          <w:rFonts w:hint="eastAsia" w:ascii="仿宋" w:hAnsi="仿宋" w:eastAsia="仿宋"/>
          <w:sz w:val="32"/>
          <w:szCs w:val="32"/>
        </w:rPr>
        <w:t>万元，预算完成率7</w:t>
      </w:r>
      <w:r>
        <w:rPr>
          <w:rFonts w:ascii="仿宋" w:hAnsi="仿宋" w:eastAsia="仿宋"/>
          <w:sz w:val="32"/>
          <w:szCs w:val="32"/>
        </w:rPr>
        <w:t>2.56</w:t>
      </w:r>
      <w:r>
        <w:rPr>
          <w:rFonts w:hint="eastAsia" w:ascii="仿宋" w:hAnsi="仿宋" w:eastAsia="仿宋"/>
          <w:sz w:val="32"/>
          <w:szCs w:val="32"/>
        </w:rPr>
        <w:t>%；20</w:t>
      </w:r>
      <w:r>
        <w:rPr>
          <w:rFonts w:ascii="仿宋" w:hAnsi="仿宋" w:eastAsia="仿宋"/>
          <w:sz w:val="32"/>
          <w:szCs w:val="32"/>
        </w:rPr>
        <w:t>21</w:t>
      </w:r>
      <w:r>
        <w:rPr>
          <w:rFonts w:hint="eastAsia" w:ascii="仿宋" w:hAnsi="仿宋" w:eastAsia="仿宋"/>
          <w:sz w:val="32"/>
          <w:szCs w:val="32"/>
        </w:rPr>
        <w:t>年支出预算数为5</w:t>
      </w:r>
      <w:r>
        <w:rPr>
          <w:rFonts w:ascii="仿宋" w:hAnsi="仿宋" w:eastAsia="仿宋"/>
          <w:sz w:val="32"/>
          <w:szCs w:val="32"/>
        </w:rPr>
        <w:t>082.15</w:t>
      </w:r>
      <w:r>
        <w:rPr>
          <w:rFonts w:hint="eastAsia" w:ascii="仿宋" w:hAnsi="仿宋" w:eastAsia="仿宋"/>
          <w:sz w:val="32"/>
          <w:szCs w:val="32"/>
        </w:rPr>
        <w:t>万元，执行数</w:t>
      </w:r>
      <w:r>
        <w:rPr>
          <w:rFonts w:ascii="仿宋" w:hAnsi="仿宋" w:eastAsia="仿宋"/>
          <w:sz w:val="32"/>
          <w:szCs w:val="32"/>
        </w:rPr>
        <w:t>3687.43</w:t>
      </w:r>
      <w:r>
        <w:rPr>
          <w:rFonts w:hint="eastAsia" w:ascii="仿宋" w:hAnsi="仿宋" w:eastAsia="仿宋"/>
          <w:sz w:val="32"/>
          <w:szCs w:val="32"/>
        </w:rPr>
        <w:t>万元</w:t>
      </w:r>
      <w:r>
        <w:rPr>
          <w:rFonts w:ascii="仿宋" w:hAnsi="仿宋" w:eastAsia="仿宋"/>
          <w:sz w:val="32"/>
          <w:szCs w:val="32"/>
        </w:rPr>
        <w:t>(</w:t>
      </w:r>
      <w:r>
        <w:rPr>
          <w:rFonts w:hint="eastAsia" w:ascii="仿宋" w:hAnsi="仿宋" w:eastAsia="仿宋"/>
          <w:sz w:val="32"/>
          <w:szCs w:val="32"/>
        </w:rPr>
        <w:t>其中：社会保障和就业支出6</w:t>
      </w:r>
      <w:r>
        <w:rPr>
          <w:rFonts w:ascii="仿宋" w:hAnsi="仿宋" w:eastAsia="仿宋"/>
          <w:sz w:val="32"/>
          <w:szCs w:val="32"/>
        </w:rPr>
        <w:t>1.02</w:t>
      </w:r>
      <w:r>
        <w:rPr>
          <w:rFonts w:hint="eastAsia" w:ascii="仿宋" w:hAnsi="仿宋" w:eastAsia="仿宋"/>
          <w:sz w:val="32"/>
          <w:szCs w:val="32"/>
        </w:rPr>
        <w:t>万元、卫生健康支出2</w:t>
      </w:r>
      <w:r>
        <w:rPr>
          <w:rFonts w:ascii="仿宋" w:hAnsi="仿宋" w:eastAsia="仿宋"/>
          <w:sz w:val="32"/>
          <w:szCs w:val="32"/>
        </w:rPr>
        <w:t>7.55</w:t>
      </w:r>
      <w:r>
        <w:rPr>
          <w:rFonts w:hint="eastAsia" w:ascii="仿宋" w:hAnsi="仿宋" w:eastAsia="仿宋"/>
          <w:sz w:val="32"/>
          <w:szCs w:val="32"/>
        </w:rPr>
        <w:t>万元、农林水支出3</w:t>
      </w:r>
      <w:r>
        <w:rPr>
          <w:rFonts w:ascii="仿宋" w:hAnsi="仿宋" w:eastAsia="仿宋"/>
          <w:sz w:val="32"/>
          <w:szCs w:val="32"/>
        </w:rPr>
        <w:t>598.87</w:t>
      </w:r>
      <w:r>
        <w:rPr>
          <w:rFonts w:hint="eastAsia" w:ascii="仿宋" w:hAnsi="仿宋" w:eastAsia="仿宋"/>
          <w:sz w:val="32"/>
          <w:szCs w:val="32"/>
        </w:rPr>
        <w:t>万元)，预算完成率7</w:t>
      </w:r>
      <w:r>
        <w:rPr>
          <w:rFonts w:ascii="仿宋" w:hAnsi="仿宋" w:eastAsia="仿宋"/>
          <w:sz w:val="32"/>
          <w:szCs w:val="32"/>
        </w:rPr>
        <w:t>2.56</w:t>
      </w:r>
      <w:r>
        <w:rPr>
          <w:rFonts w:hint="eastAsia" w:ascii="仿宋" w:hAnsi="仿宋" w:eastAsia="仿宋"/>
          <w:sz w:val="32"/>
          <w:szCs w:val="32"/>
        </w:rPr>
        <w:t>%。</w:t>
      </w:r>
    </w:p>
    <w:p w14:paraId="3882F983">
      <w:pPr>
        <w:spacing w:line="560" w:lineRule="exact"/>
        <w:ind w:firstLine="643"/>
        <w:rPr>
          <w:rFonts w:ascii="仿宋" w:hAnsi="仿宋" w:eastAsia="仿宋"/>
          <w:sz w:val="32"/>
          <w:szCs w:val="32"/>
        </w:rPr>
      </w:pPr>
      <w:r>
        <w:rPr>
          <w:rFonts w:hint="eastAsia" w:ascii="仿宋" w:hAnsi="仿宋" w:eastAsia="仿宋"/>
          <w:b/>
          <w:sz w:val="32"/>
          <w:szCs w:val="32"/>
        </w:rPr>
        <w:t>3、节能降耗情况。</w:t>
      </w:r>
      <w:r>
        <w:rPr>
          <w:rFonts w:hint="eastAsia" w:ascii="仿宋" w:hAnsi="仿宋" w:eastAsia="仿宋"/>
          <w:sz w:val="32"/>
          <w:szCs w:val="32"/>
        </w:rPr>
        <w:t>一是促进节约用电，坚决杜绝长明灯，加强用电设备管理，少用电暖器、电热水壶等产品，尽量减少待机消耗，长时间不用和下班后要及时拔插头</w:t>
      </w:r>
      <w:bookmarkStart w:id="0" w:name="_GoBack"/>
      <w:bookmarkEnd w:id="0"/>
      <w:r>
        <w:rPr>
          <w:rFonts w:hint="eastAsia" w:ascii="仿宋" w:hAnsi="仿宋" w:eastAsia="仿宋"/>
          <w:sz w:val="32"/>
          <w:szCs w:val="32"/>
        </w:rPr>
        <w:t>，全年共支付电费4</w:t>
      </w:r>
      <w:r>
        <w:rPr>
          <w:rFonts w:ascii="仿宋" w:hAnsi="仿宋" w:eastAsia="仿宋"/>
          <w:sz w:val="32"/>
          <w:szCs w:val="32"/>
        </w:rPr>
        <w:t>.39</w:t>
      </w:r>
      <w:r>
        <w:rPr>
          <w:rFonts w:hint="eastAsia" w:ascii="仿宋" w:hAnsi="仿宋" w:eastAsia="仿宋"/>
          <w:sz w:val="32"/>
          <w:szCs w:val="32"/>
        </w:rPr>
        <w:t>万元；二是创建节水型机关，加强节约用水，单位内部绿地养护用水根据季节和天气变化情况科学、适时进行灌溉，全年用水支付0</w:t>
      </w:r>
      <w:r>
        <w:rPr>
          <w:rFonts w:ascii="仿宋" w:hAnsi="仿宋" w:eastAsia="仿宋"/>
          <w:sz w:val="32"/>
          <w:szCs w:val="32"/>
        </w:rPr>
        <w:t>.48</w:t>
      </w:r>
      <w:r>
        <w:rPr>
          <w:rFonts w:hint="eastAsia" w:ascii="仿宋" w:hAnsi="仿宋" w:eastAsia="仿宋"/>
          <w:sz w:val="32"/>
          <w:szCs w:val="32"/>
        </w:rPr>
        <w:t>万元；三是做到公务车辆运行和维护节能，建立公务车辆定点维修、定点用油和定期保养制度，落实公务车辆节能措施，全年支付公务车辆运行维护费5</w:t>
      </w:r>
      <w:r>
        <w:rPr>
          <w:rFonts w:ascii="仿宋" w:hAnsi="仿宋" w:eastAsia="仿宋"/>
          <w:sz w:val="32"/>
          <w:szCs w:val="32"/>
        </w:rPr>
        <w:t>.5</w:t>
      </w:r>
      <w:r>
        <w:rPr>
          <w:rFonts w:hint="eastAsia" w:ascii="仿宋" w:hAnsi="仿宋" w:eastAsia="仿宋"/>
          <w:sz w:val="32"/>
          <w:szCs w:val="32"/>
        </w:rPr>
        <w:t>万元。</w:t>
      </w:r>
    </w:p>
    <w:p w14:paraId="3BEFB303">
      <w:pPr>
        <w:spacing w:line="560" w:lineRule="exact"/>
        <w:ind w:firstLine="643"/>
        <w:rPr>
          <w:rFonts w:ascii="仿宋" w:hAnsi="仿宋" w:eastAsia="仿宋"/>
          <w:sz w:val="32"/>
          <w:szCs w:val="32"/>
        </w:rPr>
      </w:pPr>
      <w:r>
        <w:rPr>
          <w:rFonts w:hint="eastAsia" w:ascii="仿宋" w:hAnsi="仿宋" w:eastAsia="仿宋"/>
          <w:b/>
          <w:sz w:val="32"/>
          <w:szCs w:val="32"/>
        </w:rPr>
        <w:t>4、 “三公”经费的预决算执行及控制情况。</w:t>
      </w:r>
      <w:r>
        <w:rPr>
          <w:rFonts w:hint="eastAsia" w:ascii="仿宋" w:hAnsi="仿宋" w:eastAsia="仿宋"/>
          <w:sz w:val="32"/>
          <w:szCs w:val="32"/>
        </w:rPr>
        <w:t>20</w:t>
      </w:r>
      <w:r>
        <w:rPr>
          <w:rFonts w:ascii="仿宋" w:hAnsi="仿宋" w:eastAsia="仿宋"/>
          <w:sz w:val="32"/>
          <w:szCs w:val="32"/>
        </w:rPr>
        <w:t>21</w:t>
      </w:r>
      <w:r>
        <w:rPr>
          <w:rFonts w:hint="eastAsia" w:ascii="仿宋" w:hAnsi="仿宋" w:eastAsia="仿宋"/>
          <w:sz w:val="32"/>
          <w:szCs w:val="32"/>
        </w:rPr>
        <w:t>年度“三公”经费年预算数为</w:t>
      </w:r>
      <w:r>
        <w:rPr>
          <w:rFonts w:ascii="仿宋" w:hAnsi="仿宋" w:eastAsia="仿宋"/>
          <w:sz w:val="32"/>
          <w:szCs w:val="32"/>
        </w:rPr>
        <w:t>7.98</w:t>
      </w:r>
      <w:r>
        <w:rPr>
          <w:rFonts w:hint="eastAsia" w:ascii="仿宋" w:hAnsi="仿宋" w:eastAsia="仿宋"/>
          <w:sz w:val="32"/>
          <w:szCs w:val="32"/>
        </w:rPr>
        <w:t>万元，调整预算数</w:t>
      </w:r>
      <w:r>
        <w:rPr>
          <w:rFonts w:ascii="仿宋" w:hAnsi="仿宋" w:eastAsia="仿宋"/>
          <w:sz w:val="32"/>
          <w:szCs w:val="32"/>
        </w:rPr>
        <w:t>5.7</w:t>
      </w:r>
      <w:r>
        <w:rPr>
          <w:rFonts w:hint="eastAsia" w:ascii="仿宋" w:hAnsi="仿宋" w:eastAsia="仿宋"/>
          <w:sz w:val="32"/>
          <w:szCs w:val="32"/>
        </w:rPr>
        <w:t>万元，决算数</w:t>
      </w:r>
      <w:r>
        <w:rPr>
          <w:rFonts w:ascii="仿宋" w:hAnsi="仿宋" w:eastAsia="仿宋"/>
          <w:sz w:val="32"/>
          <w:szCs w:val="32"/>
        </w:rPr>
        <w:t>5.7</w:t>
      </w:r>
      <w:r>
        <w:rPr>
          <w:rFonts w:hint="eastAsia" w:ascii="仿宋" w:hAnsi="仿宋" w:eastAsia="仿宋"/>
          <w:sz w:val="32"/>
          <w:szCs w:val="32"/>
        </w:rPr>
        <w:t>万元，控制率100%。“三公”经费决算数与预算数持平。具体明细如下：</w:t>
      </w:r>
    </w:p>
    <w:p w14:paraId="077EF8FC">
      <w:pPr>
        <w:spacing w:line="560" w:lineRule="exact"/>
        <w:ind w:firstLine="640"/>
        <w:rPr>
          <w:rFonts w:ascii="仿宋" w:hAnsi="仿宋" w:eastAsia="仿宋"/>
          <w:sz w:val="32"/>
          <w:szCs w:val="32"/>
        </w:rPr>
      </w:pPr>
      <w:r>
        <w:rPr>
          <w:rFonts w:ascii="仿宋" w:hAnsi="仿宋" w:eastAsia="仿宋"/>
          <w:sz w:val="32"/>
          <w:szCs w:val="32"/>
        </w:rPr>
        <w:t xml:space="preserve">                                     单位：元</w:t>
      </w:r>
    </w:p>
    <w:tbl>
      <w:tblPr>
        <w:tblStyle w:val="6"/>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5"/>
        <w:gridCol w:w="1966"/>
        <w:gridCol w:w="2040"/>
        <w:gridCol w:w="1740"/>
      </w:tblGrid>
      <w:tr w14:paraId="4CE4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655" w:type="dxa"/>
            <w:vAlign w:val="center"/>
          </w:tcPr>
          <w:p w14:paraId="40FC07C4">
            <w:pPr>
              <w:spacing w:line="560" w:lineRule="exact"/>
              <w:ind w:firstLine="640"/>
              <w:rPr>
                <w:rFonts w:ascii="仿宋" w:hAnsi="仿宋" w:eastAsia="仿宋"/>
                <w:sz w:val="32"/>
                <w:szCs w:val="32"/>
              </w:rPr>
            </w:pPr>
            <w:r>
              <w:rPr>
                <w:rFonts w:ascii="仿宋" w:hAnsi="仿宋" w:eastAsia="仿宋"/>
                <w:sz w:val="32"/>
                <w:szCs w:val="32"/>
              </w:rPr>
              <w:t>项  目</w:t>
            </w:r>
          </w:p>
        </w:tc>
        <w:tc>
          <w:tcPr>
            <w:tcW w:w="1966" w:type="dxa"/>
            <w:vAlign w:val="center"/>
          </w:tcPr>
          <w:p w14:paraId="341123CA">
            <w:pPr>
              <w:spacing w:line="560" w:lineRule="exact"/>
              <w:ind w:firstLine="640"/>
              <w:rPr>
                <w:rFonts w:ascii="仿宋" w:hAnsi="仿宋" w:eastAsia="仿宋"/>
                <w:sz w:val="32"/>
                <w:szCs w:val="32"/>
              </w:rPr>
            </w:pPr>
            <w:r>
              <w:rPr>
                <w:rFonts w:ascii="仿宋" w:hAnsi="仿宋" w:eastAsia="仿宋"/>
                <w:sz w:val="32"/>
                <w:szCs w:val="32"/>
              </w:rPr>
              <w:t>预算数</w:t>
            </w:r>
          </w:p>
        </w:tc>
        <w:tc>
          <w:tcPr>
            <w:tcW w:w="2040" w:type="dxa"/>
            <w:vAlign w:val="center"/>
          </w:tcPr>
          <w:p w14:paraId="4CF6C6DA">
            <w:pPr>
              <w:spacing w:line="560" w:lineRule="exact"/>
              <w:ind w:firstLine="640"/>
              <w:rPr>
                <w:rFonts w:ascii="仿宋" w:hAnsi="仿宋" w:eastAsia="仿宋"/>
                <w:sz w:val="32"/>
                <w:szCs w:val="32"/>
              </w:rPr>
            </w:pPr>
            <w:r>
              <w:rPr>
                <w:rFonts w:ascii="仿宋" w:hAnsi="仿宋" w:eastAsia="仿宋"/>
                <w:sz w:val="32"/>
                <w:szCs w:val="32"/>
              </w:rPr>
              <w:t>决算数</w:t>
            </w:r>
          </w:p>
        </w:tc>
        <w:tc>
          <w:tcPr>
            <w:tcW w:w="1740" w:type="dxa"/>
            <w:vAlign w:val="center"/>
          </w:tcPr>
          <w:p w14:paraId="12F38EEF">
            <w:pPr>
              <w:spacing w:line="560" w:lineRule="exact"/>
              <w:ind w:firstLine="640"/>
              <w:rPr>
                <w:rFonts w:ascii="仿宋" w:hAnsi="仿宋" w:eastAsia="仿宋"/>
                <w:sz w:val="32"/>
                <w:szCs w:val="32"/>
              </w:rPr>
            </w:pPr>
            <w:r>
              <w:rPr>
                <w:rFonts w:ascii="仿宋" w:hAnsi="仿宋" w:eastAsia="仿宋"/>
                <w:sz w:val="32"/>
                <w:szCs w:val="32"/>
              </w:rPr>
              <w:t>差异</w:t>
            </w:r>
          </w:p>
        </w:tc>
      </w:tr>
      <w:tr w14:paraId="7500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5" w:type="dxa"/>
            <w:vAlign w:val="center"/>
          </w:tcPr>
          <w:p w14:paraId="0226DFE9">
            <w:pPr>
              <w:spacing w:line="560" w:lineRule="exact"/>
              <w:ind w:firstLine="640"/>
              <w:rPr>
                <w:rFonts w:ascii="仿宋" w:hAnsi="仿宋" w:eastAsia="仿宋"/>
                <w:sz w:val="32"/>
                <w:szCs w:val="32"/>
              </w:rPr>
            </w:pPr>
            <w:r>
              <w:rPr>
                <w:rFonts w:ascii="仿宋" w:hAnsi="仿宋" w:eastAsia="仿宋"/>
                <w:sz w:val="32"/>
                <w:szCs w:val="32"/>
              </w:rPr>
              <w:t>公务用车购置支出</w:t>
            </w:r>
          </w:p>
        </w:tc>
        <w:tc>
          <w:tcPr>
            <w:tcW w:w="1966" w:type="dxa"/>
            <w:vAlign w:val="center"/>
          </w:tcPr>
          <w:p w14:paraId="3EBC239F">
            <w:pPr>
              <w:spacing w:line="560" w:lineRule="exact"/>
              <w:ind w:firstLine="640"/>
              <w:rPr>
                <w:rFonts w:ascii="仿宋" w:hAnsi="仿宋" w:eastAsia="仿宋"/>
                <w:sz w:val="32"/>
                <w:szCs w:val="32"/>
              </w:rPr>
            </w:pPr>
            <w:r>
              <w:rPr>
                <w:rFonts w:hint="eastAsia" w:ascii="仿宋" w:hAnsi="仿宋" w:eastAsia="仿宋"/>
                <w:sz w:val="32"/>
                <w:szCs w:val="32"/>
              </w:rPr>
              <w:t>0</w:t>
            </w:r>
          </w:p>
        </w:tc>
        <w:tc>
          <w:tcPr>
            <w:tcW w:w="2040" w:type="dxa"/>
            <w:vAlign w:val="center"/>
          </w:tcPr>
          <w:p w14:paraId="1A0D60A9">
            <w:pPr>
              <w:spacing w:line="560" w:lineRule="exact"/>
              <w:ind w:firstLine="640"/>
              <w:rPr>
                <w:rFonts w:ascii="仿宋" w:hAnsi="仿宋" w:eastAsia="仿宋"/>
                <w:sz w:val="32"/>
                <w:szCs w:val="32"/>
              </w:rPr>
            </w:pPr>
            <w:r>
              <w:rPr>
                <w:rFonts w:hint="eastAsia" w:ascii="仿宋" w:hAnsi="仿宋" w:eastAsia="仿宋"/>
                <w:sz w:val="32"/>
                <w:szCs w:val="32"/>
              </w:rPr>
              <w:t>0</w:t>
            </w:r>
          </w:p>
        </w:tc>
        <w:tc>
          <w:tcPr>
            <w:tcW w:w="1740" w:type="dxa"/>
            <w:vAlign w:val="center"/>
          </w:tcPr>
          <w:p w14:paraId="5E3F4740">
            <w:pPr>
              <w:spacing w:line="560" w:lineRule="exact"/>
              <w:ind w:firstLine="640"/>
              <w:rPr>
                <w:rFonts w:ascii="仿宋" w:hAnsi="仿宋" w:eastAsia="仿宋"/>
                <w:sz w:val="32"/>
                <w:szCs w:val="32"/>
              </w:rPr>
            </w:pPr>
            <w:r>
              <w:rPr>
                <w:rFonts w:hint="eastAsia" w:ascii="仿宋" w:hAnsi="仿宋" w:eastAsia="仿宋"/>
                <w:sz w:val="32"/>
                <w:szCs w:val="32"/>
              </w:rPr>
              <w:t>0</w:t>
            </w:r>
          </w:p>
        </w:tc>
      </w:tr>
      <w:tr w14:paraId="5D2D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655" w:type="dxa"/>
            <w:vAlign w:val="center"/>
          </w:tcPr>
          <w:p w14:paraId="3E591094">
            <w:pPr>
              <w:spacing w:line="560" w:lineRule="exact"/>
              <w:ind w:firstLine="640"/>
              <w:rPr>
                <w:rFonts w:ascii="仿宋" w:hAnsi="仿宋" w:eastAsia="仿宋"/>
                <w:sz w:val="32"/>
                <w:szCs w:val="32"/>
              </w:rPr>
            </w:pPr>
            <w:r>
              <w:rPr>
                <w:rFonts w:ascii="仿宋" w:hAnsi="仿宋" w:eastAsia="仿宋"/>
                <w:sz w:val="32"/>
                <w:szCs w:val="32"/>
              </w:rPr>
              <w:t>公务用车运行维护费支出</w:t>
            </w:r>
          </w:p>
        </w:tc>
        <w:tc>
          <w:tcPr>
            <w:tcW w:w="1966" w:type="dxa"/>
            <w:vAlign w:val="center"/>
          </w:tcPr>
          <w:p w14:paraId="2ABF9CEB">
            <w:pPr>
              <w:spacing w:line="560" w:lineRule="exact"/>
              <w:ind w:firstLine="640"/>
              <w:rPr>
                <w:rFonts w:ascii="仿宋" w:hAnsi="仿宋" w:eastAsia="仿宋"/>
                <w:sz w:val="32"/>
                <w:szCs w:val="32"/>
              </w:rPr>
            </w:pPr>
            <w:r>
              <w:rPr>
                <w:rFonts w:ascii="仿宋" w:hAnsi="仿宋" w:eastAsia="仿宋"/>
                <w:sz w:val="32"/>
                <w:szCs w:val="32"/>
              </w:rPr>
              <w:t>59800</w:t>
            </w:r>
          </w:p>
        </w:tc>
        <w:tc>
          <w:tcPr>
            <w:tcW w:w="2040" w:type="dxa"/>
            <w:vAlign w:val="center"/>
          </w:tcPr>
          <w:p w14:paraId="6C8A5C3E">
            <w:pPr>
              <w:spacing w:line="560" w:lineRule="exact"/>
              <w:ind w:firstLine="640"/>
              <w:rPr>
                <w:rFonts w:ascii="仿宋" w:hAnsi="仿宋" w:eastAsia="仿宋"/>
                <w:sz w:val="32"/>
                <w:szCs w:val="32"/>
              </w:rPr>
            </w:pPr>
            <w:r>
              <w:rPr>
                <w:rFonts w:ascii="仿宋" w:hAnsi="仿宋" w:eastAsia="仿宋"/>
                <w:sz w:val="32"/>
                <w:szCs w:val="32"/>
              </w:rPr>
              <w:t>55488</w:t>
            </w:r>
          </w:p>
        </w:tc>
        <w:tc>
          <w:tcPr>
            <w:tcW w:w="1740" w:type="dxa"/>
            <w:vAlign w:val="center"/>
          </w:tcPr>
          <w:p w14:paraId="43BA7D61">
            <w:pPr>
              <w:spacing w:line="560" w:lineRule="exact"/>
              <w:ind w:firstLine="640"/>
              <w:rPr>
                <w:rFonts w:ascii="仿宋" w:hAnsi="仿宋" w:eastAsia="仿宋"/>
                <w:sz w:val="32"/>
                <w:szCs w:val="32"/>
              </w:rPr>
            </w:pPr>
            <w:r>
              <w:rPr>
                <w:rFonts w:hint="eastAsia" w:ascii="仿宋" w:hAnsi="仿宋" w:eastAsia="仿宋"/>
                <w:sz w:val="32"/>
                <w:szCs w:val="32"/>
              </w:rPr>
              <w:t>0</w:t>
            </w:r>
          </w:p>
        </w:tc>
      </w:tr>
      <w:tr w14:paraId="4E17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5" w:type="dxa"/>
            <w:vAlign w:val="center"/>
          </w:tcPr>
          <w:p w14:paraId="68AF3AFE">
            <w:pPr>
              <w:spacing w:line="560" w:lineRule="exact"/>
              <w:ind w:firstLine="640"/>
              <w:rPr>
                <w:rFonts w:ascii="仿宋" w:hAnsi="仿宋" w:eastAsia="仿宋"/>
                <w:sz w:val="32"/>
                <w:szCs w:val="32"/>
              </w:rPr>
            </w:pPr>
            <w:r>
              <w:rPr>
                <w:rFonts w:ascii="仿宋" w:hAnsi="仿宋" w:eastAsia="仿宋"/>
                <w:sz w:val="32"/>
                <w:szCs w:val="32"/>
              </w:rPr>
              <w:t>因公出国支出</w:t>
            </w:r>
          </w:p>
        </w:tc>
        <w:tc>
          <w:tcPr>
            <w:tcW w:w="1966" w:type="dxa"/>
            <w:vAlign w:val="center"/>
          </w:tcPr>
          <w:p w14:paraId="690F99CC">
            <w:pPr>
              <w:spacing w:line="560" w:lineRule="exact"/>
              <w:ind w:firstLine="640"/>
              <w:rPr>
                <w:rFonts w:ascii="仿宋" w:hAnsi="仿宋" w:eastAsia="仿宋"/>
                <w:sz w:val="32"/>
                <w:szCs w:val="32"/>
              </w:rPr>
            </w:pPr>
            <w:r>
              <w:rPr>
                <w:rFonts w:hint="eastAsia" w:ascii="仿宋" w:hAnsi="仿宋" w:eastAsia="仿宋"/>
                <w:sz w:val="32"/>
                <w:szCs w:val="32"/>
              </w:rPr>
              <w:t>0</w:t>
            </w:r>
          </w:p>
        </w:tc>
        <w:tc>
          <w:tcPr>
            <w:tcW w:w="2040" w:type="dxa"/>
            <w:vAlign w:val="center"/>
          </w:tcPr>
          <w:p w14:paraId="57FF6C79">
            <w:pPr>
              <w:spacing w:line="560" w:lineRule="exact"/>
              <w:ind w:firstLine="640"/>
              <w:rPr>
                <w:rFonts w:ascii="仿宋" w:hAnsi="仿宋" w:eastAsia="仿宋"/>
                <w:sz w:val="32"/>
                <w:szCs w:val="32"/>
              </w:rPr>
            </w:pPr>
            <w:r>
              <w:rPr>
                <w:rFonts w:hint="eastAsia" w:ascii="仿宋" w:hAnsi="仿宋" w:eastAsia="仿宋"/>
                <w:sz w:val="32"/>
                <w:szCs w:val="32"/>
              </w:rPr>
              <w:t>0</w:t>
            </w:r>
          </w:p>
        </w:tc>
        <w:tc>
          <w:tcPr>
            <w:tcW w:w="1740" w:type="dxa"/>
            <w:vAlign w:val="center"/>
          </w:tcPr>
          <w:p w14:paraId="77A26D06">
            <w:pPr>
              <w:spacing w:line="560" w:lineRule="exact"/>
              <w:ind w:firstLine="640"/>
              <w:rPr>
                <w:rFonts w:ascii="仿宋" w:hAnsi="仿宋" w:eastAsia="仿宋"/>
                <w:sz w:val="32"/>
                <w:szCs w:val="32"/>
              </w:rPr>
            </w:pPr>
            <w:r>
              <w:rPr>
                <w:rFonts w:hint="eastAsia" w:ascii="仿宋" w:hAnsi="仿宋" w:eastAsia="仿宋"/>
                <w:sz w:val="32"/>
                <w:szCs w:val="32"/>
              </w:rPr>
              <w:t>0</w:t>
            </w:r>
          </w:p>
        </w:tc>
      </w:tr>
      <w:tr w14:paraId="1C8E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5" w:type="dxa"/>
            <w:vAlign w:val="center"/>
          </w:tcPr>
          <w:p w14:paraId="40254C97">
            <w:pPr>
              <w:spacing w:line="560" w:lineRule="exact"/>
              <w:ind w:firstLine="640"/>
              <w:rPr>
                <w:rFonts w:ascii="仿宋" w:hAnsi="仿宋" w:eastAsia="仿宋"/>
                <w:sz w:val="32"/>
                <w:szCs w:val="32"/>
              </w:rPr>
            </w:pPr>
            <w:r>
              <w:rPr>
                <w:rFonts w:ascii="仿宋" w:hAnsi="仿宋" w:eastAsia="仿宋"/>
                <w:sz w:val="32"/>
                <w:szCs w:val="32"/>
              </w:rPr>
              <w:t xml:space="preserve">公务接待费支出  </w:t>
            </w:r>
          </w:p>
        </w:tc>
        <w:tc>
          <w:tcPr>
            <w:tcW w:w="1966" w:type="dxa"/>
            <w:vAlign w:val="center"/>
          </w:tcPr>
          <w:p w14:paraId="4AC5FD67">
            <w:pPr>
              <w:spacing w:line="560" w:lineRule="exact"/>
              <w:ind w:firstLine="640"/>
              <w:rPr>
                <w:rFonts w:ascii="仿宋" w:hAnsi="仿宋" w:eastAsia="仿宋"/>
                <w:sz w:val="32"/>
                <w:szCs w:val="32"/>
              </w:rPr>
            </w:pPr>
            <w:r>
              <w:rPr>
                <w:rFonts w:ascii="仿宋" w:hAnsi="仿宋" w:eastAsia="仿宋"/>
                <w:sz w:val="32"/>
                <w:szCs w:val="32"/>
              </w:rPr>
              <w:t>20000</w:t>
            </w:r>
          </w:p>
        </w:tc>
        <w:tc>
          <w:tcPr>
            <w:tcW w:w="2040" w:type="dxa"/>
            <w:vAlign w:val="center"/>
          </w:tcPr>
          <w:p w14:paraId="4F744FE8">
            <w:pPr>
              <w:spacing w:line="560" w:lineRule="exact"/>
              <w:ind w:firstLine="640"/>
              <w:rPr>
                <w:rFonts w:ascii="仿宋" w:hAnsi="仿宋" w:eastAsia="仿宋"/>
                <w:sz w:val="32"/>
                <w:szCs w:val="32"/>
              </w:rPr>
            </w:pPr>
            <w:r>
              <w:rPr>
                <w:rFonts w:ascii="仿宋" w:hAnsi="仿宋" w:eastAsia="仿宋"/>
                <w:sz w:val="32"/>
                <w:szCs w:val="32"/>
              </w:rPr>
              <w:t>1560</w:t>
            </w:r>
          </w:p>
        </w:tc>
        <w:tc>
          <w:tcPr>
            <w:tcW w:w="1740" w:type="dxa"/>
            <w:vAlign w:val="center"/>
          </w:tcPr>
          <w:p w14:paraId="3F7F8964">
            <w:pPr>
              <w:spacing w:line="560" w:lineRule="exact"/>
              <w:ind w:firstLine="640"/>
              <w:rPr>
                <w:rFonts w:ascii="仿宋" w:hAnsi="仿宋" w:eastAsia="仿宋"/>
                <w:sz w:val="32"/>
                <w:szCs w:val="32"/>
              </w:rPr>
            </w:pPr>
            <w:r>
              <w:rPr>
                <w:rFonts w:ascii="仿宋" w:hAnsi="仿宋" w:eastAsia="仿宋"/>
                <w:sz w:val="32"/>
                <w:szCs w:val="32"/>
              </w:rPr>
              <w:t>0</w:t>
            </w:r>
          </w:p>
        </w:tc>
      </w:tr>
      <w:tr w14:paraId="3009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5" w:type="dxa"/>
            <w:vAlign w:val="center"/>
          </w:tcPr>
          <w:p w14:paraId="4E44E025">
            <w:pPr>
              <w:spacing w:line="560" w:lineRule="exact"/>
              <w:ind w:firstLine="640"/>
              <w:rPr>
                <w:rFonts w:ascii="仿宋" w:hAnsi="仿宋" w:eastAsia="仿宋"/>
                <w:sz w:val="32"/>
                <w:szCs w:val="32"/>
              </w:rPr>
            </w:pPr>
            <w:r>
              <w:rPr>
                <w:rFonts w:ascii="仿宋" w:hAnsi="仿宋" w:eastAsia="仿宋"/>
                <w:sz w:val="32"/>
                <w:szCs w:val="32"/>
              </w:rPr>
              <w:t xml:space="preserve">   合  计</w:t>
            </w:r>
          </w:p>
        </w:tc>
        <w:tc>
          <w:tcPr>
            <w:tcW w:w="1966" w:type="dxa"/>
            <w:vAlign w:val="center"/>
          </w:tcPr>
          <w:p w14:paraId="142AE16A">
            <w:pPr>
              <w:spacing w:line="560" w:lineRule="exact"/>
              <w:ind w:firstLine="640"/>
              <w:rPr>
                <w:rFonts w:ascii="仿宋" w:hAnsi="仿宋" w:eastAsia="仿宋"/>
                <w:sz w:val="32"/>
                <w:szCs w:val="32"/>
              </w:rPr>
            </w:pPr>
            <w:r>
              <w:rPr>
                <w:rFonts w:ascii="仿宋" w:hAnsi="仿宋" w:eastAsia="仿宋"/>
                <w:sz w:val="32"/>
                <w:szCs w:val="32"/>
              </w:rPr>
              <w:t>79800</w:t>
            </w:r>
          </w:p>
        </w:tc>
        <w:tc>
          <w:tcPr>
            <w:tcW w:w="2040" w:type="dxa"/>
            <w:vAlign w:val="center"/>
          </w:tcPr>
          <w:p w14:paraId="089F18C1">
            <w:pPr>
              <w:spacing w:line="560" w:lineRule="exact"/>
              <w:ind w:firstLine="640"/>
              <w:rPr>
                <w:rFonts w:ascii="仿宋" w:hAnsi="仿宋" w:eastAsia="仿宋"/>
                <w:sz w:val="32"/>
                <w:szCs w:val="32"/>
              </w:rPr>
            </w:pPr>
            <w:r>
              <w:rPr>
                <w:rFonts w:ascii="仿宋" w:hAnsi="仿宋" w:eastAsia="仿宋"/>
                <w:sz w:val="32"/>
                <w:szCs w:val="32"/>
              </w:rPr>
              <w:t>57048</w:t>
            </w:r>
          </w:p>
        </w:tc>
        <w:tc>
          <w:tcPr>
            <w:tcW w:w="1740" w:type="dxa"/>
            <w:vAlign w:val="center"/>
          </w:tcPr>
          <w:p w14:paraId="5E54068C">
            <w:pPr>
              <w:spacing w:line="560" w:lineRule="exact"/>
              <w:ind w:firstLine="640"/>
              <w:rPr>
                <w:rFonts w:ascii="仿宋" w:hAnsi="仿宋" w:eastAsia="仿宋"/>
                <w:sz w:val="32"/>
                <w:szCs w:val="32"/>
              </w:rPr>
            </w:pPr>
            <w:r>
              <w:rPr>
                <w:rFonts w:ascii="仿宋" w:hAnsi="仿宋" w:eastAsia="仿宋"/>
                <w:sz w:val="32"/>
                <w:szCs w:val="32"/>
              </w:rPr>
              <w:t>0</w:t>
            </w:r>
          </w:p>
        </w:tc>
      </w:tr>
    </w:tbl>
    <w:p w14:paraId="3C56D1C0">
      <w:pPr>
        <w:spacing w:line="560" w:lineRule="exact"/>
        <w:ind w:firstLine="640"/>
        <w:rPr>
          <w:rFonts w:ascii="仿宋" w:hAnsi="仿宋" w:eastAsia="仿宋"/>
          <w:sz w:val="32"/>
          <w:szCs w:val="32"/>
        </w:rPr>
      </w:pPr>
      <w:r>
        <w:rPr>
          <w:rFonts w:hint="eastAsia" w:ascii="仿宋" w:hAnsi="仿宋" w:eastAsia="仿宋"/>
          <w:sz w:val="32"/>
          <w:szCs w:val="32"/>
        </w:rPr>
        <w:t>20</w:t>
      </w:r>
      <w:r>
        <w:rPr>
          <w:rFonts w:ascii="仿宋" w:hAnsi="仿宋" w:eastAsia="仿宋"/>
          <w:sz w:val="32"/>
          <w:szCs w:val="32"/>
        </w:rPr>
        <w:t>21</w:t>
      </w:r>
      <w:r>
        <w:rPr>
          <w:rFonts w:hint="eastAsia" w:ascii="仿宋" w:hAnsi="仿宋" w:eastAsia="仿宋"/>
          <w:sz w:val="32"/>
          <w:szCs w:val="32"/>
        </w:rPr>
        <w:t>年度“三公经费”决算数</w:t>
      </w:r>
      <w:r>
        <w:rPr>
          <w:rFonts w:ascii="仿宋" w:hAnsi="仿宋" w:eastAsia="仿宋"/>
          <w:sz w:val="32"/>
          <w:szCs w:val="32"/>
        </w:rPr>
        <w:t>5.7</w:t>
      </w:r>
      <w:r>
        <w:rPr>
          <w:rFonts w:hint="eastAsia" w:ascii="仿宋" w:hAnsi="仿宋" w:eastAsia="仿宋"/>
          <w:sz w:val="32"/>
          <w:szCs w:val="32"/>
        </w:rPr>
        <w:t>万元比201</w:t>
      </w:r>
      <w:r>
        <w:rPr>
          <w:rFonts w:ascii="仿宋" w:hAnsi="仿宋" w:eastAsia="仿宋"/>
          <w:sz w:val="32"/>
          <w:szCs w:val="32"/>
        </w:rPr>
        <w:t>9</w:t>
      </w:r>
      <w:r>
        <w:rPr>
          <w:rFonts w:hint="eastAsia" w:ascii="仿宋" w:hAnsi="仿宋" w:eastAsia="仿宋"/>
          <w:sz w:val="32"/>
          <w:szCs w:val="32"/>
        </w:rPr>
        <w:t>年度“三公经费”决算数</w:t>
      </w:r>
      <w:r>
        <w:rPr>
          <w:rFonts w:ascii="仿宋" w:hAnsi="仿宋" w:eastAsia="仿宋"/>
          <w:sz w:val="32"/>
          <w:szCs w:val="32"/>
        </w:rPr>
        <w:t>8</w:t>
      </w:r>
      <w:r>
        <w:rPr>
          <w:rFonts w:hint="eastAsia" w:ascii="仿宋" w:hAnsi="仿宋" w:eastAsia="仿宋"/>
          <w:sz w:val="32"/>
          <w:szCs w:val="32"/>
        </w:rPr>
        <w:t>万元减少了</w:t>
      </w:r>
      <w:r>
        <w:rPr>
          <w:rFonts w:ascii="仿宋" w:hAnsi="仿宋" w:eastAsia="仿宋"/>
          <w:sz w:val="32"/>
          <w:szCs w:val="32"/>
        </w:rPr>
        <w:t>2.3</w:t>
      </w:r>
      <w:r>
        <w:rPr>
          <w:rFonts w:hint="eastAsia" w:ascii="仿宋" w:hAnsi="仿宋" w:eastAsia="仿宋"/>
          <w:sz w:val="32"/>
          <w:szCs w:val="32"/>
        </w:rPr>
        <w:t>万元，三公经费下降的主要原因：一是严格执行《关于进一步加强三公经费的管理意见》，按本年发生数较上年发生数只减不增原则，压缩控制三公经费支出；二是引导部门严格控制支出，认真贯彻落实八项规定要求，厉行节约，规范公务接待活动等；三是严格按照我局“三公”经费相关制度规定执行报销流程。</w:t>
      </w:r>
    </w:p>
    <w:p w14:paraId="36647033">
      <w:pPr>
        <w:spacing w:line="560" w:lineRule="exact"/>
        <w:ind w:firstLine="643"/>
        <w:rPr>
          <w:rFonts w:ascii="仿宋" w:hAnsi="仿宋" w:eastAsia="仿宋"/>
          <w:sz w:val="32"/>
          <w:szCs w:val="32"/>
        </w:rPr>
      </w:pPr>
      <w:r>
        <w:rPr>
          <w:rFonts w:hint="eastAsia" w:ascii="仿宋" w:hAnsi="仿宋" w:eastAsia="仿宋"/>
          <w:b/>
          <w:sz w:val="32"/>
          <w:szCs w:val="32"/>
        </w:rPr>
        <w:t>5、项目支出管理规范和绩效情况。</w:t>
      </w:r>
      <w:r>
        <w:rPr>
          <w:rFonts w:hint="eastAsia" w:ascii="仿宋" w:hAnsi="仿宋" w:eastAsia="仿宋"/>
          <w:sz w:val="32"/>
          <w:szCs w:val="32"/>
        </w:rPr>
        <w:t>我局所有项目支出都实行国库集中支付管理，整个支出过程合理、程序规范。项目支出3</w:t>
      </w:r>
      <w:r>
        <w:rPr>
          <w:rFonts w:ascii="仿宋" w:hAnsi="仿宋" w:eastAsia="仿宋"/>
          <w:sz w:val="32"/>
          <w:szCs w:val="32"/>
        </w:rPr>
        <w:t>032.53</w:t>
      </w:r>
      <w:r>
        <w:rPr>
          <w:rFonts w:hint="eastAsia" w:ascii="仿宋" w:hAnsi="仿宋" w:eastAsia="仿宋"/>
          <w:sz w:val="32"/>
          <w:szCs w:val="32"/>
        </w:rPr>
        <w:t>万元，占比</w:t>
      </w:r>
      <w:r>
        <w:rPr>
          <w:rFonts w:ascii="仿宋" w:hAnsi="仿宋" w:eastAsia="仿宋"/>
          <w:sz w:val="32"/>
          <w:szCs w:val="32"/>
        </w:rPr>
        <w:t>82.24</w:t>
      </w:r>
      <w:r>
        <w:rPr>
          <w:rFonts w:hint="eastAsia" w:ascii="仿宋" w:hAnsi="仿宋" w:eastAsia="仿宋"/>
          <w:sz w:val="32"/>
          <w:szCs w:val="32"/>
        </w:rPr>
        <w:t>%，其中水利水电股农村水利设施项目支出</w:t>
      </w:r>
      <w:r>
        <w:rPr>
          <w:rFonts w:ascii="仿宋" w:hAnsi="仿宋" w:eastAsia="仿宋"/>
          <w:sz w:val="32"/>
          <w:szCs w:val="32"/>
        </w:rPr>
        <w:t>821.78</w:t>
      </w:r>
      <w:r>
        <w:rPr>
          <w:rFonts w:hint="eastAsia" w:ascii="仿宋" w:hAnsi="仿宋" w:eastAsia="仿宋"/>
          <w:sz w:val="32"/>
          <w:szCs w:val="32"/>
        </w:rPr>
        <w:t>万元绩效自评等次为优、中方县水利水电事务中心2021年度水利工程项目支出1</w:t>
      </w:r>
      <w:r>
        <w:rPr>
          <w:rFonts w:ascii="仿宋" w:hAnsi="仿宋" w:eastAsia="仿宋"/>
          <w:sz w:val="32"/>
          <w:szCs w:val="32"/>
        </w:rPr>
        <w:t>939.00</w:t>
      </w:r>
      <w:r>
        <w:rPr>
          <w:rFonts w:hint="eastAsia" w:ascii="仿宋" w:hAnsi="仿宋" w:eastAsia="仿宋"/>
          <w:sz w:val="32"/>
          <w:szCs w:val="32"/>
        </w:rPr>
        <w:t>万元绩效自评等次为优、河湖长制工作项目支出</w:t>
      </w:r>
      <w:r>
        <w:rPr>
          <w:rFonts w:ascii="仿宋" w:hAnsi="仿宋" w:eastAsia="仿宋"/>
          <w:sz w:val="32"/>
          <w:szCs w:val="32"/>
        </w:rPr>
        <w:t>167.95</w:t>
      </w:r>
      <w:r>
        <w:rPr>
          <w:rFonts w:hint="eastAsia" w:ascii="仿宋" w:hAnsi="仿宋" w:eastAsia="仿宋"/>
          <w:sz w:val="32"/>
          <w:szCs w:val="32"/>
        </w:rPr>
        <w:t>万元绩效自评等次为优、水旱灾害防御项目支出</w:t>
      </w:r>
      <w:r>
        <w:rPr>
          <w:rFonts w:ascii="仿宋" w:hAnsi="仿宋" w:eastAsia="仿宋"/>
          <w:sz w:val="32"/>
          <w:szCs w:val="32"/>
        </w:rPr>
        <w:t>41.16</w:t>
      </w:r>
      <w:r>
        <w:rPr>
          <w:rFonts w:hint="eastAsia" w:ascii="仿宋" w:hAnsi="仿宋" w:eastAsia="仿宋"/>
          <w:sz w:val="32"/>
          <w:szCs w:val="32"/>
        </w:rPr>
        <w:t>万元绩效自评等次为优、水保股龙门溪生态清洁小流域综合治理项目支出3</w:t>
      </w:r>
      <w:r>
        <w:rPr>
          <w:rFonts w:ascii="仿宋" w:hAnsi="仿宋" w:eastAsia="仿宋"/>
          <w:sz w:val="32"/>
          <w:szCs w:val="32"/>
        </w:rPr>
        <w:t>0.95</w:t>
      </w:r>
      <w:r>
        <w:rPr>
          <w:rFonts w:hint="eastAsia" w:ascii="仿宋" w:hAnsi="仿宋" w:eastAsia="仿宋"/>
          <w:sz w:val="32"/>
          <w:szCs w:val="32"/>
        </w:rPr>
        <w:t>万元绩效自评等次为优、八项增收节支奖项目支出3</w:t>
      </w:r>
      <w:r>
        <w:rPr>
          <w:rFonts w:ascii="仿宋" w:hAnsi="仿宋" w:eastAsia="仿宋"/>
          <w:sz w:val="32"/>
          <w:szCs w:val="32"/>
        </w:rPr>
        <w:t>1.69</w:t>
      </w:r>
      <w:r>
        <w:rPr>
          <w:rFonts w:hint="eastAsia" w:ascii="仿宋" w:hAnsi="仿宋" w:eastAsia="仿宋"/>
          <w:sz w:val="32"/>
          <w:szCs w:val="32"/>
        </w:rPr>
        <w:t>万元绩效自评等次为优。</w:t>
      </w:r>
    </w:p>
    <w:p w14:paraId="589E4C5C">
      <w:pPr>
        <w:spacing w:line="560" w:lineRule="exact"/>
        <w:ind w:firstLine="640"/>
        <w:rPr>
          <w:sz w:val="32"/>
          <w:szCs w:val="32"/>
        </w:rPr>
      </w:pPr>
      <w:r>
        <w:rPr>
          <w:rFonts w:hint="eastAsia"/>
          <w:sz w:val="32"/>
          <w:szCs w:val="32"/>
        </w:rPr>
        <w:t>三、部门整体支出绩效评价分析</w:t>
      </w:r>
    </w:p>
    <w:p w14:paraId="34E7982E">
      <w:pPr>
        <w:spacing w:line="560" w:lineRule="exact"/>
        <w:ind w:firstLine="643"/>
        <w:rPr>
          <w:rFonts w:ascii="楷体" w:hAnsi="楷体" w:eastAsia="楷体"/>
          <w:b/>
          <w:sz w:val="32"/>
          <w:szCs w:val="32"/>
        </w:rPr>
      </w:pPr>
      <w:r>
        <w:rPr>
          <w:rFonts w:hint="eastAsia" w:ascii="楷体" w:hAnsi="楷体" w:eastAsia="楷体"/>
          <w:b/>
          <w:sz w:val="32"/>
          <w:szCs w:val="32"/>
        </w:rPr>
        <w:t>（一）投入情况分析</w:t>
      </w:r>
    </w:p>
    <w:p w14:paraId="5BE873D4">
      <w:pPr>
        <w:spacing w:line="560" w:lineRule="exact"/>
        <w:ind w:firstLine="643"/>
        <w:rPr>
          <w:rFonts w:ascii="仿宋" w:hAnsi="仿宋" w:eastAsia="仿宋"/>
          <w:sz w:val="32"/>
          <w:szCs w:val="32"/>
        </w:rPr>
      </w:pPr>
      <w:r>
        <w:rPr>
          <w:rFonts w:hint="eastAsia" w:ascii="仿宋" w:hAnsi="仿宋" w:eastAsia="仿宋"/>
          <w:b/>
          <w:sz w:val="32"/>
          <w:szCs w:val="32"/>
        </w:rPr>
        <w:t>1</w:t>
      </w:r>
      <w:r>
        <w:rPr>
          <w:rFonts w:ascii="仿宋" w:hAnsi="仿宋" w:eastAsia="仿宋"/>
          <w:b/>
          <w:sz w:val="32"/>
          <w:szCs w:val="32"/>
        </w:rPr>
        <w:t>.</w:t>
      </w:r>
      <w:r>
        <w:rPr>
          <w:rFonts w:hint="eastAsia" w:ascii="仿宋" w:hAnsi="仿宋" w:eastAsia="仿宋"/>
          <w:b/>
          <w:sz w:val="32"/>
          <w:szCs w:val="32"/>
        </w:rPr>
        <w:t>预算编制：</w:t>
      </w:r>
      <w:r>
        <w:rPr>
          <w:rFonts w:ascii="仿宋" w:hAnsi="仿宋" w:eastAsia="仿宋"/>
          <w:sz w:val="32"/>
          <w:szCs w:val="32"/>
        </w:rPr>
        <w:t>为规范部门预算编制，我</w:t>
      </w:r>
      <w:r>
        <w:rPr>
          <w:rFonts w:hint="eastAsia" w:ascii="仿宋" w:hAnsi="仿宋" w:eastAsia="仿宋"/>
          <w:sz w:val="32"/>
          <w:szCs w:val="32"/>
        </w:rPr>
        <w:t>局</w:t>
      </w:r>
      <w:r>
        <w:rPr>
          <w:rFonts w:ascii="仿宋" w:hAnsi="仿宋" w:eastAsia="仿宋"/>
          <w:sz w:val="32"/>
          <w:szCs w:val="32"/>
        </w:rPr>
        <w:t>严格按照“两上两下”编制流程，确保按时按质做好</w:t>
      </w:r>
      <w:r>
        <w:rPr>
          <w:rFonts w:hint="eastAsia" w:ascii="仿宋" w:hAnsi="仿宋" w:eastAsia="仿宋"/>
          <w:sz w:val="32"/>
          <w:szCs w:val="32"/>
        </w:rPr>
        <w:t>2</w:t>
      </w:r>
      <w:r>
        <w:rPr>
          <w:rFonts w:ascii="仿宋" w:hAnsi="仿宋" w:eastAsia="仿宋"/>
          <w:sz w:val="32"/>
          <w:szCs w:val="32"/>
        </w:rPr>
        <w:t>021</w:t>
      </w:r>
      <w:r>
        <w:rPr>
          <w:rFonts w:hint="eastAsia" w:ascii="仿宋" w:hAnsi="仿宋" w:eastAsia="仿宋"/>
          <w:sz w:val="32"/>
          <w:szCs w:val="32"/>
        </w:rPr>
        <w:t>年</w:t>
      </w:r>
      <w:r>
        <w:rPr>
          <w:rFonts w:ascii="仿宋" w:hAnsi="仿宋" w:eastAsia="仿宋"/>
          <w:sz w:val="32"/>
          <w:szCs w:val="32"/>
        </w:rPr>
        <w:t>预算编制工作。2021年本部门收入预算5082.15万元，其中，一般公共预算拨款745.26万元，</w:t>
      </w:r>
      <w:r>
        <w:rPr>
          <w:rFonts w:hint="eastAsia" w:ascii="仿宋" w:hAnsi="仿宋" w:eastAsia="仿宋"/>
          <w:sz w:val="32"/>
          <w:szCs w:val="32"/>
        </w:rPr>
        <w:t>上级财政补助</w:t>
      </w:r>
      <w:r>
        <w:rPr>
          <w:rFonts w:ascii="仿宋" w:hAnsi="仿宋" w:eastAsia="仿宋"/>
          <w:sz w:val="32"/>
          <w:szCs w:val="32"/>
        </w:rPr>
        <w:t>4336.89万元。</w:t>
      </w:r>
      <w:r>
        <w:rPr>
          <w:rFonts w:hint="eastAsia" w:ascii="仿宋" w:hAnsi="仿宋" w:eastAsia="仿宋"/>
          <w:sz w:val="32"/>
          <w:szCs w:val="32"/>
        </w:rPr>
        <w:t>2021</w:t>
      </w:r>
      <w:r>
        <w:rPr>
          <w:rFonts w:ascii="仿宋" w:hAnsi="仿宋" w:eastAsia="仿宋"/>
          <w:sz w:val="32"/>
          <w:szCs w:val="32"/>
        </w:rPr>
        <w:t>年本部门支出预算5082.15万元，其中，</w:t>
      </w:r>
      <w:r>
        <w:rPr>
          <w:rFonts w:hint="eastAsia" w:ascii="仿宋" w:hAnsi="仿宋" w:eastAsia="仿宋"/>
          <w:sz w:val="32"/>
          <w:szCs w:val="32"/>
        </w:rPr>
        <w:t>社会保障和就业支出</w:t>
      </w:r>
      <w:r>
        <w:rPr>
          <w:rFonts w:ascii="仿宋" w:hAnsi="仿宋" w:eastAsia="仿宋"/>
          <w:sz w:val="32"/>
          <w:szCs w:val="32"/>
        </w:rPr>
        <w:t>58.67万元，</w:t>
      </w:r>
      <w:r>
        <w:rPr>
          <w:rFonts w:hint="eastAsia" w:ascii="仿宋" w:hAnsi="仿宋" w:eastAsia="仿宋"/>
          <w:sz w:val="32"/>
          <w:szCs w:val="32"/>
        </w:rPr>
        <w:t>卫生健康支出</w:t>
      </w:r>
      <w:r>
        <w:rPr>
          <w:rFonts w:ascii="仿宋" w:hAnsi="仿宋" w:eastAsia="仿宋"/>
          <w:sz w:val="32"/>
          <w:szCs w:val="32"/>
        </w:rPr>
        <w:t>28.18万元，</w:t>
      </w:r>
      <w:r>
        <w:rPr>
          <w:rFonts w:hint="eastAsia" w:ascii="仿宋" w:hAnsi="仿宋" w:eastAsia="仿宋"/>
          <w:sz w:val="32"/>
          <w:szCs w:val="32"/>
        </w:rPr>
        <w:t>农林水支出</w:t>
      </w:r>
      <w:r>
        <w:rPr>
          <w:rFonts w:ascii="仿宋" w:hAnsi="仿宋" w:eastAsia="仿宋"/>
          <w:sz w:val="32"/>
          <w:szCs w:val="32"/>
        </w:rPr>
        <w:t>4955.51万元，</w:t>
      </w:r>
      <w:r>
        <w:rPr>
          <w:rFonts w:hint="eastAsia" w:ascii="仿宋" w:hAnsi="仿宋" w:eastAsia="仿宋"/>
          <w:sz w:val="32"/>
          <w:szCs w:val="32"/>
        </w:rPr>
        <w:t>住房保障支出</w:t>
      </w:r>
      <w:r>
        <w:rPr>
          <w:rFonts w:ascii="仿宋" w:hAnsi="仿宋" w:eastAsia="仿宋"/>
          <w:sz w:val="32"/>
          <w:szCs w:val="32"/>
        </w:rPr>
        <w:t>39.79万元。</w:t>
      </w:r>
    </w:p>
    <w:p w14:paraId="4DCBF517">
      <w:pPr>
        <w:spacing w:line="560" w:lineRule="exact"/>
        <w:ind w:firstLine="643"/>
        <w:rPr>
          <w:rFonts w:ascii="仿宋" w:hAnsi="仿宋" w:eastAsia="仿宋"/>
          <w:sz w:val="32"/>
          <w:szCs w:val="32"/>
        </w:rPr>
      </w:pPr>
      <w:r>
        <w:rPr>
          <w:rFonts w:ascii="仿宋" w:hAnsi="仿宋" w:eastAsia="仿宋"/>
          <w:b/>
          <w:sz w:val="32"/>
          <w:szCs w:val="32"/>
        </w:rPr>
        <w:t>2</w:t>
      </w:r>
      <w:r>
        <w:rPr>
          <w:rFonts w:hint="eastAsia" w:ascii="仿宋" w:hAnsi="仿宋" w:eastAsia="仿宋"/>
          <w:b/>
          <w:sz w:val="32"/>
          <w:szCs w:val="32"/>
        </w:rPr>
        <w:t>.目标设定：</w:t>
      </w:r>
      <w:r>
        <w:rPr>
          <w:rFonts w:hint="eastAsia" w:ascii="仿宋" w:hAnsi="仿宋" w:eastAsia="仿宋"/>
          <w:sz w:val="32"/>
          <w:szCs w:val="32"/>
        </w:rPr>
        <w:t>①本部门设立的整体绩效目标符合国家法律法规、国民经济和社会发展总体规划、符合“三定”方案确定的职责与部门制定的中长期实施规划。②本部门设定的绩效指标清晰、细化、可衡量，与部门年度的任务数相对应，并与本年度部门预算资金相匹配。③本部门申报绩效目标资金额与部门项目资金总额的比率为6</w:t>
      </w:r>
      <w:r>
        <w:rPr>
          <w:rFonts w:ascii="仿宋" w:hAnsi="仿宋" w:eastAsia="仿宋"/>
          <w:sz w:val="32"/>
          <w:szCs w:val="32"/>
        </w:rPr>
        <w:t>8</w:t>
      </w:r>
      <w:r>
        <w:rPr>
          <w:rFonts w:hint="eastAsia" w:ascii="仿宋" w:hAnsi="仿宋" w:eastAsia="仿宋"/>
          <w:sz w:val="32"/>
          <w:szCs w:val="32"/>
        </w:rPr>
        <w:t>%。④本部门编报整体绩效目标和申报项目绩效目标的数量没有超过财政部门要求的绩效目标填报数量。</w:t>
      </w:r>
    </w:p>
    <w:p w14:paraId="4CE0944F">
      <w:pPr>
        <w:spacing w:line="560" w:lineRule="exact"/>
        <w:ind w:firstLine="643"/>
        <w:rPr>
          <w:rFonts w:ascii="仿宋" w:hAnsi="仿宋" w:eastAsia="仿宋"/>
          <w:sz w:val="32"/>
          <w:szCs w:val="32"/>
        </w:rPr>
      </w:pPr>
      <w:r>
        <w:rPr>
          <w:rFonts w:ascii="仿宋" w:hAnsi="仿宋" w:eastAsia="仿宋"/>
          <w:b/>
          <w:sz w:val="32"/>
          <w:szCs w:val="32"/>
        </w:rPr>
        <w:t>3</w:t>
      </w:r>
      <w:r>
        <w:rPr>
          <w:rFonts w:hint="eastAsia" w:ascii="仿宋" w:hAnsi="仿宋" w:eastAsia="仿宋"/>
          <w:b/>
          <w:sz w:val="32"/>
          <w:szCs w:val="32"/>
        </w:rPr>
        <w:t>.预算配置：</w:t>
      </w:r>
      <w:r>
        <w:rPr>
          <w:rFonts w:hint="eastAsia" w:ascii="仿宋" w:hAnsi="仿宋" w:eastAsia="仿宋"/>
          <w:sz w:val="32"/>
          <w:szCs w:val="32"/>
        </w:rPr>
        <w:t>①本部门202</w:t>
      </w:r>
      <w:r>
        <w:rPr>
          <w:rFonts w:ascii="仿宋" w:hAnsi="仿宋" w:eastAsia="仿宋"/>
          <w:sz w:val="32"/>
          <w:szCs w:val="32"/>
        </w:rPr>
        <w:t>1</w:t>
      </w:r>
      <w:r>
        <w:rPr>
          <w:rFonts w:hint="eastAsia" w:ascii="仿宋" w:hAnsi="仿宋" w:eastAsia="仿宋"/>
          <w:sz w:val="32"/>
          <w:szCs w:val="32"/>
        </w:rPr>
        <w:t>年年末实际在职人员为</w:t>
      </w:r>
      <w:r>
        <w:rPr>
          <w:rFonts w:ascii="仿宋" w:hAnsi="仿宋" w:eastAsia="仿宋"/>
          <w:sz w:val="32"/>
          <w:szCs w:val="32"/>
        </w:rPr>
        <w:t>51</w:t>
      </w:r>
      <w:r>
        <w:rPr>
          <w:rFonts w:hint="eastAsia" w:ascii="仿宋" w:hAnsi="仿宋" w:eastAsia="仿宋"/>
          <w:sz w:val="32"/>
          <w:szCs w:val="32"/>
        </w:rPr>
        <w:t>人，核定的编制人数为</w:t>
      </w:r>
      <w:r>
        <w:rPr>
          <w:rFonts w:ascii="仿宋" w:hAnsi="仿宋" w:eastAsia="仿宋"/>
          <w:sz w:val="32"/>
          <w:szCs w:val="32"/>
        </w:rPr>
        <w:t>52</w:t>
      </w:r>
      <w:r>
        <w:rPr>
          <w:rFonts w:hint="eastAsia" w:ascii="仿宋" w:hAnsi="仿宋" w:eastAsia="仿宋"/>
          <w:sz w:val="32"/>
          <w:szCs w:val="32"/>
        </w:rPr>
        <w:t>人，实际在职人员数占编委核定的编制数的比率＝（在职人员数÷编制数）×100%＝</w:t>
      </w:r>
      <w:r>
        <w:rPr>
          <w:rFonts w:ascii="仿宋" w:hAnsi="仿宋" w:eastAsia="仿宋"/>
          <w:sz w:val="32"/>
          <w:szCs w:val="32"/>
        </w:rPr>
        <w:t>98</w:t>
      </w:r>
      <w:r>
        <w:rPr>
          <w:rFonts w:hint="eastAsia" w:ascii="仿宋" w:hAnsi="仿宋" w:eastAsia="仿宋"/>
          <w:sz w:val="32"/>
          <w:szCs w:val="32"/>
        </w:rPr>
        <w:t>%，部门对人员成本的控制程度符合规定要求。②202</w:t>
      </w:r>
      <w:r>
        <w:rPr>
          <w:rFonts w:ascii="仿宋" w:hAnsi="仿宋" w:eastAsia="仿宋"/>
          <w:sz w:val="32"/>
          <w:szCs w:val="32"/>
        </w:rPr>
        <w:t>1</w:t>
      </w:r>
      <w:r>
        <w:rPr>
          <w:rFonts w:hint="eastAsia" w:ascii="仿宋" w:hAnsi="仿宋" w:eastAsia="仿宋"/>
          <w:sz w:val="32"/>
          <w:szCs w:val="32"/>
        </w:rPr>
        <w:t>年度本部门一般公共预算财政拨款安排“三公经费”预算总额为</w:t>
      </w:r>
      <w:r>
        <w:rPr>
          <w:rFonts w:ascii="仿宋" w:hAnsi="仿宋" w:eastAsia="仿宋"/>
          <w:sz w:val="32"/>
          <w:szCs w:val="32"/>
        </w:rPr>
        <w:t>7.98</w:t>
      </w:r>
      <w:r>
        <w:rPr>
          <w:rFonts w:hint="eastAsia" w:ascii="仿宋" w:hAnsi="仿宋" w:eastAsia="仿宋"/>
          <w:sz w:val="32"/>
          <w:szCs w:val="32"/>
        </w:rPr>
        <w:t>万元，其中公务用车购置及运行维护费</w:t>
      </w:r>
      <w:r>
        <w:rPr>
          <w:rFonts w:ascii="仿宋" w:hAnsi="仿宋" w:eastAsia="仿宋"/>
          <w:sz w:val="32"/>
          <w:szCs w:val="32"/>
        </w:rPr>
        <w:t>5.98</w:t>
      </w:r>
      <w:r>
        <w:rPr>
          <w:rFonts w:hint="eastAsia" w:ascii="仿宋" w:hAnsi="仿宋" w:eastAsia="仿宋"/>
          <w:sz w:val="32"/>
          <w:szCs w:val="32"/>
        </w:rPr>
        <w:t>万元，公务接待费</w:t>
      </w:r>
      <w:r>
        <w:rPr>
          <w:rFonts w:ascii="仿宋" w:hAnsi="仿宋" w:eastAsia="仿宋"/>
          <w:sz w:val="32"/>
          <w:szCs w:val="32"/>
        </w:rPr>
        <w:t>2.0</w:t>
      </w:r>
      <w:r>
        <w:rPr>
          <w:rFonts w:hint="eastAsia" w:ascii="仿宋" w:hAnsi="仿宋" w:eastAsia="仿宋"/>
          <w:sz w:val="32"/>
          <w:szCs w:val="32"/>
        </w:rPr>
        <w:t>万元，因公出国（境）费</w:t>
      </w:r>
      <w:r>
        <w:rPr>
          <w:rFonts w:ascii="仿宋" w:hAnsi="仿宋" w:eastAsia="仿宋"/>
          <w:sz w:val="32"/>
          <w:szCs w:val="32"/>
        </w:rPr>
        <w:t>0</w:t>
      </w:r>
      <w:r>
        <w:rPr>
          <w:rFonts w:hint="eastAsia" w:ascii="仿宋" w:hAnsi="仿宋" w:eastAsia="仿宋"/>
          <w:sz w:val="32"/>
          <w:szCs w:val="32"/>
        </w:rPr>
        <w:t>万元，20</w:t>
      </w:r>
      <w:r>
        <w:rPr>
          <w:rFonts w:ascii="仿宋" w:hAnsi="仿宋" w:eastAsia="仿宋"/>
          <w:sz w:val="32"/>
          <w:szCs w:val="32"/>
        </w:rPr>
        <w:t>20</w:t>
      </w:r>
      <w:r>
        <w:rPr>
          <w:rFonts w:hint="eastAsia" w:ascii="仿宋" w:hAnsi="仿宋" w:eastAsia="仿宋"/>
          <w:sz w:val="32"/>
          <w:szCs w:val="32"/>
        </w:rPr>
        <w:t>年度一般公共预算财政拨款安排“三公经费”预算总额为</w:t>
      </w:r>
      <w:r>
        <w:rPr>
          <w:rFonts w:ascii="Calibri" w:hAnsi="Calibri" w:eastAsia="仿宋" w:cs="Calibri"/>
          <w:sz w:val="32"/>
          <w:szCs w:val="32"/>
        </w:rPr>
        <w:t> </w:t>
      </w:r>
      <w:r>
        <w:rPr>
          <w:rFonts w:ascii="仿宋" w:hAnsi="仿宋" w:eastAsia="仿宋"/>
          <w:sz w:val="32"/>
          <w:szCs w:val="32"/>
        </w:rPr>
        <w:t>9</w:t>
      </w:r>
      <w:r>
        <w:rPr>
          <w:rFonts w:hint="eastAsia" w:ascii="仿宋" w:hAnsi="仿宋" w:eastAsia="仿宋"/>
          <w:sz w:val="32"/>
          <w:szCs w:val="32"/>
        </w:rPr>
        <w:t>万元。本部门“三公经费”变动率＝（本年度“三公经费”预算数－上年度“三公经费”预算数）÷上年度“三公经费”预算数＝-</w:t>
      </w:r>
      <w:r>
        <w:rPr>
          <w:rFonts w:ascii="仿宋" w:hAnsi="仿宋" w:eastAsia="仿宋"/>
          <w:sz w:val="32"/>
          <w:szCs w:val="32"/>
        </w:rPr>
        <w:t>11.33</w:t>
      </w:r>
      <w:r>
        <w:rPr>
          <w:rFonts w:hint="eastAsia" w:ascii="仿宋" w:hAnsi="仿宋" w:eastAsia="仿宋"/>
          <w:sz w:val="32"/>
          <w:szCs w:val="32"/>
        </w:rPr>
        <w:t>% &lt; 0。③重点支出安排率1</w:t>
      </w:r>
      <w:r>
        <w:rPr>
          <w:rFonts w:ascii="仿宋" w:hAnsi="仿宋" w:eastAsia="仿宋"/>
          <w:sz w:val="32"/>
          <w:szCs w:val="32"/>
        </w:rPr>
        <w:t>00</w:t>
      </w:r>
      <w:r>
        <w:rPr>
          <w:rFonts w:hint="eastAsia" w:ascii="仿宋" w:hAnsi="仿宋" w:eastAsia="仿宋"/>
          <w:sz w:val="32"/>
          <w:szCs w:val="32"/>
        </w:rPr>
        <w:t>%。</w:t>
      </w:r>
    </w:p>
    <w:p w14:paraId="69D05C84">
      <w:pPr>
        <w:spacing w:line="560" w:lineRule="exact"/>
        <w:ind w:firstLine="643"/>
        <w:rPr>
          <w:rFonts w:ascii="仿宋" w:hAnsi="仿宋" w:eastAsia="仿宋"/>
          <w:b/>
          <w:sz w:val="32"/>
          <w:szCs w:val="32"/>
        </w:rPr>
      </w:pPr>
      <w:r>
        <w:rPr>
          <w:rFonts w:hint="eastAsia" w:ascii="楷体" w:hAnsi="楷体" w:eastAsia="楷体"/>
          <w:b/>
          <w:sz w:val="32"/>
          <w:szCs w:val="32"/>
        </w:rPr>
        <w:t>（二）执行管理情况分析</w:t>
      </w:r>
    </w:p>
    <w:p w14:paraId="066AF034">
      <w:pPr>
        <w:spacing w:line="560" w:lineRule="exact"/>
        <w:ind w:firstLine="640"/>
        <w:rPr>
          <w:rFonts w:ascii="仿宋" w:hAnsi="仿宋" w:eastAsia="仿宋"/>
          <w:sz w:val="32"/>
          <w:szCs w:val="32"/>
        </w:rPr>
      </w:pPr>
      <w:r>
        <w:rPr>
          <w:rFonts w:hint="eastAsia" w:ascii="仿宋" w:hAnsi="仿宋" w:eastAsia="仿宋"/>
          <w:sz w:val="32"/>
          <w:szCs w:val="32"/>
        </w:rPr>
        <w:t>1.本部门年初预算</w:t>
      </w:r>
      <w:r>
        <w:rPr>
          <w:rFonts w:ascii="仿宋" w:hAnsi="仿宋" w:eastAsia="仿宋"/>
          <w:sz w:val="32"/>
          <w:szCs w:val="32"/>
        </w:rPr>
        <w:t>5082.15</w:t>
      </w:r>
      <w:r>
        <w:rPr>
          <w:rFonts w:hint="eastAsia" w:ascii="仿宋" w:hAnsi="仿宋" w:eastAsia="仿宋"/>
          <w:sz w:val="32"/>
          <w:szCs w:val="32"/>
        </w:rPr>
        <w:t>万元，决算支出</w:t>
      </w:r>
      <w:r>
        <w:rPr>
          <w:rFonts w:ascii="仿宋" w:hAnsi="仿宋" w:eastAsia="仿宋"/>
          <w:sz w:val="32"/>
          <w:szCs w:val="32"/>
        </w:rPr>
        <w:t>3687.43</w:t>
      </w:r>
      <w:r>
        <w:rPr>
          <w:rFonts w:hint="eastAsia" w:ascii="仿宋" w:hAnsi="仿宋" w:eastAsia="仿宋"/>
          <w:sz w:val="32"/>
          <w:szCs w:val="32"/>
        </w:rPr>
        <w:t>万元，预算完成率7</w:t>
      </w:r>
      <w:r>
        <w:rPr>
          <w:rFonts w:ascii="仿宋" w:hAnsi="仿宋" w:eastAsia="仿宋"/>
          <w:sz w:val="32"/>
          <w:szCs w:val="32"/>
        </w:rPr>
        <w:t>2.56</w:t>
      </w:r>
      <w:r>
        <w:rPr>
          <w:rFonts w:hint="eastAsia" w:ascii="仿宋" w:hAnsi="仿宋" w:eastAsia="仿宋"/>
          <w:sz w:val="32"/>
          <w:szCs w:val="32"/>
        </w:rPr>
        <w:t>%。</w:t>
      </w:r>
    </w:p>
    <w:p w14:paraId="4418CB94">
      <w:pPr>
        <w:spacing w:line="560" w:lineRule="exact"/>
        <w:ind w:firstLine="640"/>
        <w:rPr>
          <w:rFonts w:ascii="仿宋" w:hAnsi="仿宋" w:eastAsia="仿宋"/>
          <w:sz w:val="32"/>
          <w:szCs w:val="32"/>
        </w:rPr>
      </w:pPr>
      <w:r>
        <w:rPr>
          <w:rFonts w:hint="eastAsia" w:ascii="仿宋" w:hAnsi="仿宋" w:eastAsia="仿宋"/>
          <w:sz w:val="32"/>
          <w:szCs w:val="32"/>
        </w:rPr>
        <w:t>2.本部门调整预算数3</w:t>
      </w:r>
      <w:r>
        <w:rPr>
          <w:rFonts w:ascii="仿宋" w:hAnsi="仿宋" w:eastAsia="仿宋"/>
          <w:sz w:val="32"/>
          <w:szCs w:val="32"/>
        </w:rPr>
        <w:t>687.43</w:t>
      </w:r>
      <w:r>
        <w:rPr>
          <w:rFonts w:hint="eastAsia" w:ascii="仿宋" w:hAnsi="仿宋" w:eastAsia="仿宋"/>
          <w:sz w:val="32"/>
          <w:szCs w:val="32"/>
        </w:rPr>
        <w:t>万元，年初预算数5</w:t>
      </w:r>
      <w:r>
        <w:rPr>
          <w:rFonts w:ascii="仿宋" w:hAnsi="仿宋" w:eastAsia="仿宋"/>
          <w:sz w:val="32"/>
          <w:szCs w:val="32"/>
        </w:rPr>
        <w:t>082.15</w:t>
      </w:r>
      <w:r>
        <w:rPr>
          <w:rFonts w:hint="eastAsia" w:ascii="仿宋" w:hAnsi="仿宋" w:eastAsia="仿宋"/>
          <w:sz w:val="32"/>
          <w:szCs w:val="32"/>
        </w:rPr>
        <w:t>万元，预算调整率7</w:t>
      </w:r>
      <w:r>
        <w:rPr>
          <w:rFonts w:ascii="仿宋" w:hAnsi="仿宋" w:eastAsia="仿宋"/>
          <w:sz w:val="32"/>
          <w:szCs w:val="32"/>
        </w:rPr>
        <w:t>2.56</w:t>
      </w:r>
      <w:r>
        <w:rPr>
          <w:rFonts w:hint="eastAsia" w:ascii="仿宋" w:hAnsi="仿宋" w:eastAsia="仿宋"/>
          <w:sz w:val="32"/>
          <w:szCs w:val="32"/>
        </w:rPr>
        <w:t>%。</w:t>
      </w:r>
    </w:p>
    <w:p w14:paraId="487D0401">
      <w:pPr>
        <w:spacing w:line="560" w:lineRule="exact"/>
        <w:ind w:firstLine="64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本部门半年支付1</w:t>
      </w:r>
      <w:r>
        <w:rPr>
          <w:rFonts w:ascii="仿宋" w:hAnsi="仿宋" w:eastAsia="仿宋"/>
          <w:sz w:val="32"/>
          <w:szCs w:val="32"/>
        </w:rPr>
        <w:t>711.42</w:t>
      </w:r>
      <w:r>
        <w:rPr>
          <w:rFonts w:hint="eastAsia" w:ascii="仿宋" w:hAnsi="仿宋" w:eastAsia="仿宋"/>
          <w:sz w:val="32"/>
          <w:szCs w:val="32"/>
        </w:rPr>
        <w:t>万元，全年支付3</w:t>
      </w:r>
      <w:r>
        <w:rPr>
          <w:rFonts w:ascii="仿宋" w:hAnsi="仿宋" w:eastAsia="仿宋"/>
          <w:sz w:val="32"/>
          <w:szCs w:val="32"/>
        </w:rPr>
        <w:t>687.43</w:t>
      </w:r>
      <w:r>
        <w:rPr>
          <w:rFonts w:hint="eastAsia" w:ascii="仿宋" w:hAnsi="仿宋" w:eastAsia="仿宋"/>
          <w:sz w:val="32"/>
          <w:szCs w:val="32"/>
        </w:rPr>
        <w:t>万元，半年支付进度3</w:t>
      </w:r>
      <w:r>
        <w:rPr>
          <w:rFonts w:ascii="仿宋" w:hAnsi="仿宋" w:eastAsia="仿宋"/>
          <w:sz w:val="32"/>
          <w:szCs w:val="32"/>
        </w:rPr>
        <w:t>3.68</w:t>
      </w:r>
      <w:r>
        <w:rPr>
          <w:rFonts w:hint="eastAsia" w:ascii="仿宋" w:hAnsi="仿宋" w:eastAsia="仿宋"/>
          <w:sz w:val="32"/>
          <w:szCs w:val="32"/>
        </w:rPr>
        <w:t>%，全年支付进度7</w:t>
      </w:r>
      <w:r>
        <w:rPr>
          <w:rFonts w:ascii="仿宋" w:hAnsi="仿宋" w:eastAsia="仿宋"/>
          <w:sz w:val="32"/>
          <w:szCs w:val="32"/>
        </w:rPr>
        <w:t>2.56</w:t>
      </w:r>
      <w:r>
        <w:rPr>
          <w:rFonts w:hint="eastAsia" w:ascii="仿宋" w:hAnsi="仿宋" w:eastAsia="仿宋"/>
          <w:sz w:val="32"/>
          <w:szCs w:val="32"/>
        </w:rPr>
        <w:t>%。</w:t>
      </w:r>
    </w:p>
    <w:p w14:paraId="2D00C1B7">
      <w:pPr>
        <w:spacing w:line="560" w:lineRule="exact"/>
        <w:ind w:firstLine="64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本部门结转结余为0，结转结余率为0，结转结余变动率为0。</w:t>
      </w:r>
    </w:p>
    <w:p w14:paraId="0B281088">
      <w:pPr>
        <w:spacing w:line="560" w:lineRule="exact"/>
        <w:ind w:firstLine="64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本部门2</w:t>
      </w:r>
      <w:r>
        <w:rPr>
          <w:rFonts w:ascii="仿宋" w:hAnsi="仿宋" w:eastAsia="仿宋"/>
          <w:sz w:val="32"/>
          <w:szCs w:val="32"/>
        </w:rPr>
        <w:t>021</w:t>
      </w:r>
      <w:r>
        <w:rPr>
          <w:rFonts w:hint="eastAsia" w:ascii="仿宋" w:hAnsi="仿宋" w:eastAsia="仿宋"/>
          <w:sz w:val="32"/>
          <w:szCs w:val="32"/>
        </w:rPr>
        <w:t>年实际支出公用经费总额为7</w:t>
      </w:r>
      <w:r>
        <w:rPr>
          <w:rFonts w:ascii="仿宋" w:hAnsi="仿宋" w:eastAsia="仿宋"/>
          <w:sz w:val="32"/>
          <w:szCs w:val="32"/>
        </w:rPr>
        <w:t>6.07</w:t>
      </w:r>
      <w:r>
        <w:rPr>
          <w:rFonts w:hint="eastAsia" w:ascii="仿宋" w:hAnsi="仿宋" w:eastAsia="仿宋"/>
          <w:sz w:val="32"/>
          <w:szCs w:val="32"/>
        </w:rPr>
        <w:t>万元，预算安排公用经费为8</w:t>
      </w:r>
      <w:r>
        <w:rPr>
          <w:rFonts w:ascii="仿宋" w:hAnsi="仿宋" w:eastAsia="仿宋"/>
          <w:sz w:val="32"/>
          <w:szCs w:val="32"/>
        </w:rPr>
        <w:t>5.57</w:t>
      </w:r>
      <w:r>
        <w:rPr>
          <w:rFonts w:hint="eastAsia" w:ascii="仿宋" w:hAnsi="仿宋" w:eastAsia="仿宋"/>
          <w:sz w:val="32"/>
          <w:szCs w:val="32"/>
        </w:rPr>
        <w:t>万元，公用经费控制率为8</w:t>
      </w:r>
      <w:r>
        <w:rPr>
          <w:rFonts w:ascii="仿宋" w:hAnsi="仿宋" w:eastAsia="仿宋"/>
          <w:sz w:val="32"/>
          <w:szCs w:val="32"/>
        </w:rPr>
        <w:t>8.9</w:t>
      </w:r>
      <w:r>
        <w:rPr>
          <w:rFonts w:hint="eastAsia" w:ascii="仿宋" w:hAnsi="仿宋" w:eastAsia="仿宋"/>
          <w:sz w:val="32"/>
          <w:szCs w:val="32"/>
        </w:rPr>
        <w:t>%。</w:t>
      </w:r>
    </w:p>
    <w:p w14:paraId="0BD41E97">
      <w:pPr>
        <w:spacing w:line="560" w:lineRule="exact"/>
        <w:ind w:firstLine="64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w:t>
      </w:r>
      <w:r>
        <w:rPr>
          <w:rFonts w:hint="eastAsia" w:ascii="仿宋" w:hAnsi="仿宋" w:eastAsia="仿宋"/>
          <w:sz w:val="32"/>
          <w:szCs w:val="32"/>
        </w:rPr>
        <w:t>本部门2</w:t>
      </w:r>
      <w:r>
        <w:rPr>
          <w:rFonts w:ascii="仿宋" w:hAnsi="仿宋" w:eastAsia="仿宋"/>
          <w:sz w:val="32"/>
          <w:szCs w:val="32"/>
        </w:rPr>
        <w:t>021</w:t>
      </w:r>
      <w:r>
        <w:rPr>
          <w:rFonts w:hint="eastAsia" w:ascii="仿宋" w:hAnsi="仿宋" w:eastAsia="仿宋"/>
          <w:sz w:val="32"/>
          <w:szCs w:val="32"/>
        </w:rPr>
        <w:t>年“三公经费”实际支出数为5</w:t>
      </w:r>
      <w:r>
        <w:rPr>
          <w:rFonts w:ascii="仿宋" w:hAnsi="仿宋" w:eastAsia="仿宋"/>
          <w:sz w:val="32"/>
          <w:szCs w:val="32"/>
        </w:rPr>
        <w:t>.7</w:t>
      </w:r>
      <w:r>
        <w:rPr>
          <w:rFonts w:hint="eastAsia" w:ascii="仿宋" w:hAnsi="仿宋" w:eastAsia="仿宋"/>
          <w:sz w:val="32"/>
          <w:szCs w:val="32"/>
        </w:rPr>
        <w:t>万元，年初预算安排7</w:t>
      </w:r>
      <w:r>
        <w:rPr>
          <w:rFonts w:ascii="仿宋" w:hAnsi="仿宋" w:eastAsia="仿宋"/>
          <w:sz w:val="32"/>
          <w:szCs w:val="32"/>
        </w:rPr>
        <w:t>.98</w:t>
      </w:r>
      <w:r>
        <w:rPr>
          <w:rFonts w:hint="eastAsia" w:ascii="仿宋" w:hAnsi="仿宋" w:eastAsia="仿宋"/>
          <w:sz w:val="32"/>
          <w:szCs w:val="32"/>
        </w:rPr>
        <w:t>万元，“三公经费”控制率7</w:t>
      </w:r>
      <w:r>
        <w:rPr>
          <w:rFonts w:ascii="仿宋" w:hAnsi="仿宋" w:eastAsia="仿宋"/>
          <w:sz w:val="32"/>
          <w:szCs w:val="32"/>
        </w:rPr>
        <w:t>1.43</w:t>
      </w:r>
      <w:r>
        <w:rPr>
          <w:rFonts w:hint="eastAsia" w:ascii="仿宋" w:hAnsi="仿宋" w:eastAsia="仿宋"/>
          <w:sz w:val="32"/>
          <w:szCs w:val="32"/>
        </w:rPr>
        <w:t>%。</w:t>
      </w:r>
    </w:p>
    <w:p w14:paraId="2F74CC50">
      <w:pPr>
        <w:spacing w:line="560" w:lineRule="exact"/>
        <w:ind w:firstLine="640"/>
        <w:rPr>
          <w:rFonts w:ascii="仿宋" w:hAnsi="仿宋" w:eastAsia="仿宋"/>
          <w:sz w:val="32"/>
          <w:szCs w:val="32"/>
        </w:rPr>
      </w:pPr>
      <w:r>
        <w:rPr>
          <w:rFonts w:hint="eastAsia" w:ascii="仿宋" w:hAnsi="仿宋" w:eastAsia="仿宋"/>
          <w:sz w:val="32"/>
          <w:szCs w:val="32"/>
        </w:rPr>
        <w:t>7.本部门绩效监控的项目数为1</w:t>
      </w:r>
      <w:r>
        <w:rPr>
          <w:rFonts w:ascii="仿宋" w:hAnsi="仿宋" w:eastAsia="仿宋"/>
          <w:sz w:val="32"/>
          <w:szCs w:val="32"/>
        </w:rPr>
        <w:t>3</w:t>
      </w:r>
      <w:r>
        <w:rPr>
          <w:rFonts w:hint="eastAsia" w:ascii="仿宋" w:hAnsi="仿宋" w:eastAsia="仿宋"/>
          <w:sz w:val="32"/>
          <w:szCs w:val="32"/>
        </w:rPr>
        <w:t>个，年初实际申报绩效目标项目数量为1</w:t>
      </w:r>
      <w:r>
        <w:rPr>
          <w:rFonts w:ascii="仿宋" w:hAnsi="仿宋" w:eastAsia="仿宋"/>
          <w:sz w:val="32"/>
          <w:szCs w:val="32"/>
        </w:rPr>
        <w:t>3</w:t>
      </w:r>
      <w:r>
        <w:rPr>
          <w:rFonts w:hint="eastAsia" w:ascii="仿宋" w:hAnsi="仿宋" w:eastAsia="仿宋"/>
          <w:sz w:val="32"/>
          <w:szCs w:val="32"/>
        </w:rPr>
        <w:t>个，监控率为1</w:t>
      </w:r>
      <w:r>
        <w:rPr>
          <w:rFonts w:ascii="仿宋" w:hAnsi="仿宋" w:eastAsia="仿宋"/>
          <w:sz w:val="32"/>
          <w:szCs w:val="32"/>
        </w:rPr>
        <w:t>00</w:t>
      </w:r>
      <w:r>
        <w:rPr>
          <w:rFonts w:hint="eastAsia" w:ascii="仿宋" w:hAnsi="仿宋" w:eastAsia="仿宋"/>
          <w:sz w:val="32"/>
          <w:szCs w:val="32"/>
        </w:rPr>
        <w:t>%。</w:t>
      </w:r>
    </w:p>
    <w:p w14:paraId="65E8FE81">
      <w:pPr>
        <w:spacing w:line="560" w:lineRule="exact"/>
        <w:ind w:firstLine="640"/>
        <w:rPr>
          <w:rFonts w:ascii="仿宋" w:hAnsi="仿宋" w:eastAsia="仿宋"/>
          <w:sz w:val="32"/>
          <w:szCs w:val="32"/>
        </w:rPr>
      </w:pPr>
      <w:r>
        <w:rPr>
          <w:rFonts w:hint="eastAsia" w:ascii="仿宋" w:hAnsi="仿宋" w:eastAsia="仿宋"/>
          <w:sz w:val="32"/>
          <w:szCs w:val="32"/>
        </w:rPr>
        <w:t>8.本部门2</w:t>
      </w:r>
      <w:r>
        <w:rPr>
          <w:rFonts w:ascii="仿宋" w:hAnsi="仿宋" w:eastAsia="仿宋"/>
          <w:sz w:val="32"/>
          <w:szCs w:val="32"/>
        </w:rPr>
        <w:t>021</w:t>
      </w:r>
      <w:r>
        <w:rPr>
          <w:rFonts w:hint="eastAsia" w:ascii="仿宋" w:hAnsi="仿宋" w:eastAsia="仿宋"/>
          <w:sz w:val="32"/>
          <w:szCs w:val="32"/>
        </w:rPr>
        <w:t>年度计划完成项目年度内全部完成，已完成项目决算验收合格。</w:t>
      </w:r>
    </w:p>
    <w:p w14:paraId="18155C37">
      <w:pPr>
        <w:spacing w:line="560" w:lineRule="exact"/>
        <w:ind w:firstLine="643"/>
        <w:rPr>
          <w:rFonts w:ascii="楷体" w:hAnsi="楷体" w:eastAsia="楷体"/>
          <w:b/>
          <w:sz w:val="32"/>
          <w:szCs w:val="32"/>
        </w:rPr>
      </w:pPr>
      <w:r>
        <w:rPr>
          <w:rFonts w:hint="eastAsia" w:ascii="楷体" w:hAnsi="楷体" w:eastAsia="楷体"/>
          <w:b/>
          <w:sz w:val="32"/>
          <w:szCs w:val="32"/>
        </w:rPr>
        <w:t>（三）支出绩效情况分析</w:t>
      </w:r>
    </w:p>
    <w:p w14:paraId="5EF488A8">
      <w:pPr>
        <w:spacing w:line="560" w:lineRule="exact"/>
        <w:ind w:firstLine="640"/>
        <w:rPr>
          <w:rFonts w:ascii="仿宋" w:hAnsi="仿宋" w:eastAsia="仿宋"/>
          <w:sz w:val="32"/>
          <w:szCs w:val="32"/>
        </w:rPr>
      </w:pPr>
      <w:r>
        <w:rPr>
          <w:rFonts w:hint="eastAsia" w:ascii="仿宋" w:hAnsi="仿宋" w:eastAsia="仿宋"/>
          <w:sz w:val="32"/>
          <w:szCs w:val="32"/>
        </w:rPr>
        <w:t>1.本总部门</w:t>
      </w:r>
      <w:r>
        <w:rPr>
          <w:rFonts w:ascii="仿宋" w:hAnsi="仿宋" w:eastAsia="仿宋"/>
          <w:sz w:val="32"/>
          <w:szCs w:val="32"/>
        </w:rPr>
        <w:t>2021</w:t>
      </w:r>
      <w:r>
        <w:rPr>
          <w:rFonts w:hint="eastAsia" w:ascii="仿宋" w:hAnsi="仿宋" w:eastAsia="仿宋"/>
          <w:sz w:val="32"/>
          <w:szCs w:val="32"/>
        </w:rPr>
        <w:t>年度基本支出</w:t>
      </w:r>
      <w:r>
        <w:rPr>
          <w:rFonts w:ascii="仿宋" w:hAnsi="仿宋" w:eastAsia="仿宋"/>
          <w:sz w:val="32"/>
          <w:szCs w:val="32"/>
        </w:rPr>
        <w:t>654.91</w:t>
      </w:r>
      <w:r>
        <w:rPr>
          <w:rFonts w:hint="eastAsia" w:ascii="仿宋" w:hAnsi="仿宋" w:eastAsia="仿宋"/>
          <w:sz w:val="32"/>
          <w:szCs w:val="32"/>
        </w:rPr>
        <w:t>万元，其中人员经费5</w:t>
      </w:r>
      <w:r>
        <w:rPr>
          <w:rFonts w:ascii="仿宋" w:hAnsi="仿宋" w:eastAsia="仿宋"/>
          <w:sz w:val="32"/>
          <w:szCs w:val="32"/>
        </w:rPr>
        <w:t>78.84</w:t>
      </w:r>
      <w:r>
        <w:rPr>
          <w:rFonts w:hint="eastAsia" w:ascii="仿宋" w:hAnsi="仿宋" w:eastAsia="仿宋"/>
          <w:sz w:val="32"/>
          <w:szCs w:val="32"/>
        </w:rPr>
        <w:t>万元、公用经费7</w:t>
      </w:r>
      <w:r>
        <w:rPr>
          <w:rFonts w:ascii="仿宋" w:hAnsi="仿宋" w:eastAsia="仿宋"/>
          <w:sz w:val="32"/>
          <w:szCs w:val="32"/>
        </w:rPr>
        <w:t>6.07</w:t>
      </w:r>
      <w:r>
        <w:rPr>
          <w:rFonts w:hint="eastAsia" w:ascii="仿宋" w:hAnsi="仿宋" w:eastAsia="仿宋"/>
          <w:sz w:val="32"/>
          <w:szCs w:val="32"/>
        </w:rPr>
        <w:t>万元，基本保障机构正常运转和完成日常工作任务；项目支出3</w:t>
      </w:r>
      <w:r>
        <w:rPr>
          <w:rFonts w:ascii="仿宋" w:hAnsi="仿宋" w:eastAsia="仿宋"/>
          <w:sz w:val="32"/>
          <w:szCs w:val="32"/>
        </w:rPr>
        <w:t>032.53</w:t>
      </w:r>
      <w:r>
        <w:rPr>
          <w:rFonts w:hint="eastAsia" w:ascii="仿宋" w:hAnsi="仿宋" w:eastAsia="仿宋"/>
          <w:sz w:val="32"/>
          <w:szCs w:val="32"/>
        </w:rPr>
        <w:t>万元，其中水利设施建设项目支出</w:t>
      </w:r>
      <w:r>
        <w:rPr>
          <w:rFonts w:ascii="仿宋" w:hAnsi="仿宋" w:eastAsia="仿宋"/>
          <w:sz w:val="32"/>
          <w:szCs w:val="32"/>
        </w:rPr>
        <w:t>821.78</w:t>
      </w:r>
      <w:r>
        <w:rPr>
          <w:rFonts w:hint="eastAsia" w:ascii="仿宋" w:hAnsi="仿宋" w:eastAsia="仿宋"/>
          <w:sz w:val="32"/>
          <w:szCs w:val="32"/>
        </w:rPr>
        <w:t>万元、水利工程项目支出1</w:t>
      </w:r>
      <w:r>
        <w:rPr>
          <w:rFonts w:ascii="仿宋" w:hAnsi="仿宋" w:eastAsia="仿宋"/>
          <w:sz w:val="32"/>
          <w:szCs w:val="32"/>
        </w:rPr>
        <w:t>939.00</w:t>
      </w:r>
      <w:r>
        <w:rPr>
          <w:rFonts w:hint="eastAsia" w:ascii="仿宋" w:hAnsi="仿宋" w:eastAsia="仿宋"/>
          <w:sz w:val="32"/>
          <w:szCs w:val="32"/>
        </w:rPr>
        <w:t>万元、河湖长制项目支出</w:t>
      </w:r>
      <w:r>
        <w:rPr>
          <w:rFonts w:ascii="仿宋" w:hAnsi="仿宋" w:eastAsia="仿宋"/>
          <w:sz w:val="32"/>
          <w:szCs w:val="32"/>
        </w:rPr>
        <w:t>167.95</w:t>
      </w:r>
      <w:r>
        <w:rPr>
          <w:rFonts w:hint="eastAsia" w:ascii="仿宋" w:hAnsi="仿宋" w:eastAsia="仿宋"/>
          <w:sz w:val="32"/>
          <w:szCs w:val="32"/>
        </w:rPr>
        <w:t>万元、水旱灾害防御项目支出</w:t>
      </w:r>
      <w:r>
        <w:rPr>
          <w:rFonts w:ascii="仿宋" w:hAnsi="仿宋" w:eastAsia="仿宋"/>
          <w:sz w:val="32"/>
          <w:szCs w:val="32"/>
        </w:rPr>
        <w:t>41.16</w:t>
      </w:r>
      <w:r>
        <w:rPr>
          <w:rFonts w:hint="eastAsia" w:ascii="仿宋" w:hAnsi="仿宋" w:eastAsia="仿宋"/>
          <w:sz w:val="32"/>
          <w:szCs w:val="32"/>
        </w:rPr>
        <w:t>万元、龙门溪生态清洁小流域综合治理项目支出3</w:t>
      </w:r>
      <w:r>
        <w:rPr>
          <w:rFonts w:ascii="仿宋" w:hAnsi="仿宋" w:eastAsia="仿宋"/>
          <w:sz w:val="32"/>
          <w:szCs w:val="32"/>
        </w:rPr>
        <w:t>0.95</w:t>
      </w:r>
      <w:r>
        <w:rPr>
          <w:rFonts w:hint="eastAsia" w:ascii="仿宋" w:hAnsi="仿宋" w:eastAsia="仿宋"/>
          <w:sz w:val="32"/>
          <w:szCs w:val="32"/>
        </w:rPr>
        <w:t>万元、八项增收节支奖项目支出3</w:t>
      </w:r>
      <w:r>
        <w:rPr>
          <w:rFonts w:ascii="仿宋" w:hAnsi="仿宋" w:eastAsia="仿宋"/>
          <w:sz w:val="32"/>
          <w:szCs w:val="32"/>
        </w:rPr>
        <w:t>1.69</w:t>
      </w:r>
      <w:r>
        <w:rPr>
          <w:rFonts w:hint="eastAsia" w:ascii="仿宋" w:hAnsi="仿宋" w:eastAsia="仿宋"/>
          <w:sz w:val="32"/>
          <w:szCs w:val="32"/>
        </w:rPr>
        <w:t>万元，完成了我县水利事业发展特定的工作任务和事业发展目标，达到了预期的目的。</w:t>
      </w:r>
    </w:p>
    <w:p w14:paraId="459B0A53">
      <w:pPr>
        <w:spacing w:line="560" w:lineRule="exact"/>
        <w:ind w:firstLine="64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部门预算资金管理使用合法合规，不存在违规支出资金。</w:t>
      </w:r>
    </w:p>
    <w:p w14:paraId="7CF28F53">
      <w:pPr>
        <w:spacing w:line="560" w:lineRule="exact"/>
        <w:ind w:firstLine="64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本部门项目全部进行绩效自评，并将自评报告向县财政局绩效股报告。</w:t>
      </w:r>
    </w:p>
    <w:p w14:paraId="5880A99E">
      <w:pPr>
        <w:spacing w:line="560" w:lineRule="exact"/>
        <w:ind w:firstLine="640"/>
        <w:rPr>
          <w:rFonts w:ascii="仿宋" w:hAnsi="仿宋" w:eastAsia="仿宋" w:cs="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cs="仿宋"/>
          <w:sz w:val="32"/>
          <w:szCs w:val="32"/>
        </w:rPr>
        <w:t xml:space="preserve"> 本部门将绩效结果按要求在县政府门户网站上对外主动公开绩效自评结果，并将预算绩效管理工作向县政府等部门报告。</w:t>
      </w:r>
    </w:p>
    <w:p w14:paraId="773DAA71">
      <w:pPr>
        <w:spacing w:line="560" w:lineRule="exact"/>
        <w:ind w:firstLine="640"/>
        <w:rPr>
          <w:sz w:val="32"/>
          <w:szCs w:val="32"/>
        </w:rPr>
      </w:pPr>
      <w:r>
        <w:rPr>
          <w:rFonts w:hint="eastAsia"/>
          <w:sz w:val="32"/>
          <w:szCs w:val="32"/>
        </w:rPr>
        <w:t>四、存在的问题</w:t>
      </w:r>
    </w:p>
    <w:p w14:paraId="75B86DEC">
      <w:pPr>
        <w:spacing w:line="560" w:lineRule="exact"/>
        <w:ind w:firstLine="64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sz w:val="32"/>
          <w:szCs w:val="32"/>
        </w:rPr>
        <w:t>龙门溪生态清洁小流域综合治理项目</w:t>
      </w:r>
      <w:r>
        <w:rPr>
          <w:rFonts w:hint="eastAsia" w:ascii="仿宋" w:hAnsi="仿宋" w:eastAsia="仿宋" w:cs="仿宋"/>
          <w:sz w:val="32"/>
          <w:szCs w:val="32"/>
        </w:rPr>
        <w:t>由于资金被整合，只能完成了设计方案的编制，导致后续项目建设无法完成。</w:t>
      </w:r>
    </w:p>
    <w:p w14:paraId="49BAA53D">
      <w:pPr>
        <w:spacing w:line="560" w:lineRule="exact"/>
        <w:ind w:firstLine="640"/>
        <w:rPr>
          <w:rFonts w:ascii="仿宋" w:hAnsi="仿宋" w:eastAsia="仿宋" w:cs="仿宋"/>
          <w:spacing w:val="-20"/>
          <w:sz w:val="32"/>
          <w:szCs w:val="32"/>
        </w:rPr>
      </w:pPr>
      <w:r>
        <w:rPr>
          <w:rFonts w:hint="eastAsia"/>
          <w:sz w:val="32"/>
          <w:szCs w:val="32"/>
        </w:rPr>
        <w:t>2、</w:t>
      </w:r>
      <w:r>
        <w:rPr>
          <w:rFonts w:hint="eastAsia" w:ascii="仿宋" w:hAnsi="仿宋" w:eastAsia="仿宋"/>
          <w:sz w:val="32"/>
          <w:szCs w:val="32"/>
        </w:rPr>
        <w:t>完全精准的预算执行不到位，预算管理、支付业务水平有待提高。</w:t>
      </w:r>
    </w:p>
    <w:p w14:paraId="64DE831C">
      <w:pPr>
        <w:spacing w:line="560" w:lineRule="exact"/>
        <w:ind w:firstLine="640"/>
        <w:rPr>
          <w:sz w:val="32"/>
          <w:szCs w:val="32"/>
        </w:rPr>
      </w:pPr>
      <w:r>
        <w:rPr>
          <w:rFonts w:hint="eastAsia"/>
          <w:sz w:val="32"/>
          <w:szCs w:val="32"/>
        </w:rPr>
        <w:t>五、整改措施或建议</w:t>
      </w:r>
    </w:p>
    <w:p w14:paraId="76BEAB54">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建议加快资金下达。对按因素法分配且金额相对固定的专项资金，按项目法分配能够明确到具体项目的专项资金，以及暂时无法明确具体项目的，做好项目入库、申报、审批等前期工作，提前下达预算资金，加快工程实施进度。</w:t>
      </w:r>
    </w:p>
    <w:p w14:paraId="529A3E4F">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建议增加项目资金投入。由于我县财政资金紧张，县级地方配套的水利建设资金难以足额配套到位，历年来水利发展建设资金欠账较多，加之政策影响和物价上涨，资金压力增大；我县水利设施建设及维修养护需求非常大，特别是推动乡村振兴、夯实水利事业发展，都需要大量资金投入。</w:t>
      </w:r>
    </w:p>
    <w:p w14:paraId="7EF2D35F">
      <w:p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建议加大项目检查督查力度。部分项目存在资金拨付进度滞后情况，建议加大资金、项目检查督查力度，并将检查、评价结果与下年度资金安排挂钩，进一步强化建设管理，切实加快工程建设进度资金拨付进度，确保资金效益。</w:t>
      </w:r>
    </w:p>
    <w:p w14:paraId="2C1161FE">
      <w:pPr>
        <w:spacing w:line="56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、加强补充防汛抗旱物资仓库物资，譬如编织袋、编织布、土工膜等（存放时间不能太久，三年就需更换一次），加强对损坏的机械设备进行维护，配备专业人员管理防汛抗旱物资。</w:t>
      </w:r>
    </w:p>
    <w:p w14:paraId="34433824">
      <w:pPr>
        <w:spacing w:line="56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为做好我县防汛抗旱工作，建议县财政进一步加大对应急减灾方面的投入及基层防汛体系和能力建设的投入，通过加强基层防汛体系和能力建设，进一步完善防汛预警监测系统，我县山洪灾害防御预警监测系统建设于2014年，年限久，设备旧，系统运行速度非常慢，需争取财政资金对山洪灾害防御预警系统进行升级改造，以提升山洪监测预警能力、科学防汛抗灾能力及信息化手段，做好防汛应急服务保障，保证人民生命财产安全。</w:t>
      </w:r>
    </w:p>
    <w:p w14:paraId="66B14F24">
      <w:pPr>
        <w:spacing w:line="560" w:lineRule="exact"/>
        <w:ind w:firstLine="640"/>
        <w:rPr>
          <w:sz w:val="32"/>
          <w:szCs w:val="32"/>
        </w:rPr>
      </w:pPr>
      <w:r>
        <w:rPr>
          <w:rFonts w:hint="eastAsia"/>
          <w:sz w:val="32"/>
          <w:szCs w:val="32"/>
        </w:rPr>
        <w:t>六、其他需要说明的问题</w:t>
      </w:r>
    </w:p>
    <w:p w14:paraId="284C1323">
      <w:pPr>
        <w:spacing w:line="560" w:lineRule="exact"/>
        <w:ind w:firstLine="64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领导重视，责任明确，部门配合是实施小型水库除险加固工程的保障。统筹规划，多方筹资，加强建设管理是小型水库除险加固工程得以实施的关键。建立工程良性运作机制与管理体制，坚持企业化管理，市场化运作，社会化服务是确保水利工程可持续利用的主要措施。</w:t>
      </w:r>
    </w:p>
    <w:p w14:paraId="79CD4934">
      <w:pPr>
        <w:spacing w:line="560" w:lineRule="exact"/>
        <w:ind w:firstLine="640"/>
        <w:rPr>
          <w:rFonts w:ascii="仿宋" w:hAnsi="仿宋" w:eastAsia="仿宋" w:cs="仿宋"/>
          <w:sz w:val="32"/>
          <w:szCs w:val="32"/>
        </w:rPr>
      </w:pPr>
      <w:r>
        <w:rPr>
          <w:rFonts w:ascii="仿宋" w:hAnsi="仿宋" w:eastAsia="仿宋" w:cs="仿宋"/>
          <w:bCs/>
          <w:color w:val="000000"/>
          <w:sz w:val="32"/>
          <w:szCs w:val="32"/>
        </w:rPr>
        <w:t>2</w:t>
      </w:r>
      <w:r>
        <w:rPr>
          <w:rFonts w:hint="eastAsia" w:ascii="仿宋" w:hAnsi="仿宋" w:eastAsia="仿宋" w:cs="仿宋"/>
          <w:bCs/>
          <w:color w:val="000000"/>
          <w:sz w:val="32"/>
          <w:szCs w:val="32"/>
        </w:rPr>
        <w:t>、</w:t>
      </w:r>
      <w:r>
        <w:rPr>
          <w:rFonts w:hint="eastAsia" w:ascii="仿宋" w:hAnsi="仿宋" w:eastAsia="仿宋" w:cs="仿宋"/>
          <w:sz w:val="32"/>
          <w:szCs w:val="32"/>
        </w:rPr>
        <w:t>农村饮水安全工程建成完工后移交于乡镇、村组进行建后有效管理，督促乡镇村组落实管护人员、管护经费及管护责任。促进饮水工程建设好，管理好，长期发挥效益。</w:t>
      </w:r>
    </w:p>
    <w:p w14:paraId="35F4A4B9">
      <w:pPr>
        <w:spacing w:line="560" w:lineRule="exact"/>
        <w:ind w:firstLine="640"/>
        <w:rPr>
          <w:rFonts w:ascii="仿宋" w:hAnsi="仿宋" w:eastAsia="仿宋" w:cs="仿宋"/>
          <w:spacing w:val="-20"/>
          <w:sz w:val="32"/>
          <w:szCs w:val="32"/>
        </w:rPr>
      </w:pPr>
      <w:r>
        <w:rPr>
          <w:rFonts w:ascii="仿宋" w:hAnsi="仿宋" w:eastAsia="仿宋" w:cs="仿宋"/>
          <w:sz w:val="32"/>
          <w:szCs w:val="32"/>
        </w:rPr>
        <w:t>3</w:t>
      </w:r>
      <w:r>
        <w:rPr>
          <w:rFonts w:hint="eastAsia" w:ascii="仿宋" w:hAnsi="仿宋" w:eastAsia="仿宋" w:cs="仿宋"/>
          <w:sz w:val="32"/>
          <w:szCs w:val="32"/>
        </w:rPr>
        <w:t>、进一步健全和完善财务管理制度及内部控制制度，创新管理手段，拓宽思路，改进完善财务管理。按照财政支出绩效管理的要求，建立科学的财政资金效益考</w:t>
      </w:r>
      <w:r>
        <w:rPr>
          <w:rFonts w:hint="eastAsia" w:ascii="仿宋" w:hAnsi="仿宋" w:eastAsia="仿宋" w:cs="仿宋"/>
          <w:spacing w:val="-20"/>
          <w:sz w:val="32"/>
          <w:szCs w:val="32"/>
        </w:rPr>
        <w:t>评制度体系，不断提高财政资金使用管理的水平和效率。</w:t>
      </w:r>
    </w:p>
    <w:p w14:paraId="4AC3311C">
      <w:pPr>
        <w:spacing w:line="560" w:lineRule="exact"/>
        <w:ind w:firstLine="640"/>
        <w:rPr>
          <w:rFonts w:cs="黑体"/>
          <w:sz w:val="32"/>
          <w:szCs w:val="32"/>
        </w:rPr>
      </w:pPr>
    </w:p>
    <w:p w14:paraId="3E93BD4C">
      <w:pPr>
        <w:spacing w:line="560" w:lineRule="exact"/>
        <w:ind w:firstLine="640"/>
        <w:rPr>
          <w:rFonts w:ascii="仿宋" w:hAnsi="仿宋" w:eastAsia="仿宋" w:cs="方正小标宋简体"/>
          <w:bCs/>
          <w:sz w:val="32"/>
          <w:szCs w:val="32"/>
        </w:rPr>
      </w:pPr>
      <w:r>
        <w:rPr>
          <w:rFonts w:hint="eastAsia" w:ascii="仿宋" w:hAnsi="仿宋" w:eastAsia="仿宋" w:cs="黑体"/>
          <w:sz w:val="32"/>
          <w:szCs w:val="32"/>
        </w:rPr>
        <w:t>附件1：</w:t>
      </w:r>
      <w:r>
        <w:rPr>
          <w:rFonts w:hint="eastAsia" w:ascii="仿宋" w:hAnsi="仿宋" w:eastAsia="仿宋" w:cs="方正小标宋简体"/>
          <w:bCs/>
          <w:color w:val="000000"/>
          <w:sz w:val="32"/>
          <w:szCs w:val="32"/>
        </w:rPr>
        <w:t>部门整体支出绩效评价指标体系评分表</w:t>
      </w:r>
    </w:p>
    <w:p w14:paraId="5BDBF542">
      <w:pPr>
        <w:spacing w:line="560" w:lineRule="exact"/>
        <w:ind w:firstLine="640"/>
        <w:rPr>
          <w:rFonts w:ascii="黑体" w:hAnsi="黑体" w:eastAsia="黑体" w:cs="黑体"/>
          <w:sz w:val="32"/>
          <w:szCs w:val="32"/>
        </w:rPr>
      </w:pPr>
    </w:p>
    <w:p w14:paraId="3ED277EC">
      <w:pPr>
        <w:spacing w:line="560" w:lineRule="exact"/>
        <w:ind w:firstLine="0" w:firstLineChars="0"/>
        <w:rPr>
          <w:rFonts w:ascii="黑体" w:hAnsi="黑体" w:eastAsia="黑体" w:cs="黑体"/>
          <w:sz w:val="32"/>
          <w:szCs w:val="32"/>
        </w:rPr>
        <w:sectPr>
          <w:footerReference r:id="rId6" w:type="default"/>
          <w:pgSz w:w="11906" w:h="16838"/>
          <w:pgMar w:top="1587" w:right="1587" w:bottom="1587" w:left="1587" w:header="708" w:footer="709" w:gutter="0"/>
          <w:cols w:space="0" w:num="1"/>
          <w:docGrid w:linePitch="360" w:charSpace="0"/>
        </w:sectPr>
      </w:pPr>
    </w:p>
    <w:p w14:paraId="123989A8">
      <w:pPr>
        <w:spacing w:line="400" w:lineRule="exact"/>
        <w:ind w:firstLine="0" w:firstLineChars="0"/>
        <w:rPr>
          <w:rFonts w:ascii="黑体" w:hAnsi="仿宋_GB2312" w:eastAsia="黑体" w:cs="仿宋_GB2312"/>
          <w:sz w:val="32"/>
          <w:szCs w:val="32"/>
        </w:rPr>
      </w:pPr>
      <w:r>
        <w:rPr>
          <w:rFonts w:hint="eastAsia" w:ascii="黑体" w:hAnsi="仿宋_GB2312" w:eastAsia="黑体" w:cs="仿宋_GB2312"/>
          <w:sz w:val="28"/>
          <w:szCs w:val="28"/>
        </w:rPr>
        <w:t>附件</w:t>
      </w:r>
      <w:r>
        <w:rPr>
          <w:rFonts w:ascii="黑体" w:hAnsi="仿宋_GB2312" w:eastAsia="黑体" w:cs="仿宋_GB2312"/>
          <w:sz w:val="28"/>
          <w:szCs w:val="28"/>
        </w:rPr>
        <w:t>1</w:t>
      </w:r>
      <w:r>
        <w:rPr>
          <w:rFonts w:hint="eastAsia" w:ascii="黑体" w:hAnsi="仿宋_GB2312" w:eastAsia="黑体" w:cs="仿宋_GB2312"/>
          <w:sz w:val="32"/>
          <w:szCs w:val="32"/>
        </w:rPr>
        <w:t>：</w:t>
      </w:r>
    </w:p>
    <w:p w14:paraId="42855762">
      <w:pPr>
        <w:spacing w:line="700" w:lineRule="atLeast"/>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color w:val="000000"/>
          <w:sz w:val="44"/>
          <w:szCs w:val="44"/>
        </w:rPr>
        <w:t>部门整体支出绩效评价指标体系评分表</w:t>
      </w:r>
    </w:p>
    <w:tbl>
      <w:tblPr>
        <w:tblStyle w:val="6"/>
        <w:tblW w:w="141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3"/>
        <w:gridCol w:w="803"/>
        <w:gridCol w:w="1182"/>
        <w:gridCol w:w="6911"/>
        <w:gridCol w:w="3423"/>
        <w:gridCol w:w="1090"/>
      </w:tblGrid>
      <w:tr w14:paraId="734E1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blHeader/>
          <w:jc w:val="center"/>
        </w:trPr>
        <w:tc>
          <w:tcPr>
            <w:tcW w:w="733" w:type="dxa"/>
            <w:vMerge w:val="restart"/>
            <w:tcBorders>
              <w:top w:val="single" w:color="000000" w:sz="4" w:space="0"/>
              <w:left w:val="single" w:color="000000" w:sz="4" w:space="0"/>
              <w:bottom w:val="single" w:color="000000" w:sz="4" w:space="0"/>
              <w:right w:val="single" w:color="000000" w:sz="4" w:space="0"/>
            </w:tcBorders>
            <w:vAlign w:val="center"/>
          </w:tcPr>
          <w:p w14:paraId="29D0DCDD">
            <w:pPr>
              <w:spacing w:line="68" w:lineRule="atLeast"/>
              <w:ind w:firstLine="0" w:firstLineChars="0"/>
              <w:jc w:val="center"/>
              <w:rPr>
                <w:rFonts w:ascii="宋体" w:hAnsi="宋体" w:eastAsia="宋体" w:cs="宋体"/>
              </w:rPr>
            </w:pPr>
            <w:r>
              <w:rPr>
                <w:rFonts w:hint="eastAsia" w:ascii="宋体" w:hAnsi="宋体" w:eastAsia="宋体" w:cs="宋体"/>
                <w:b/>
                <w:bCs/>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5CC0D949">
            <w:pPr>
              <w:spacing w:line="68" w:lineRule="atLeast"/>
              <w:ind w:firstLine="0" w:firstLineChars="0"/>
              <w:jc w:val="center"/>
              <w:rPr>
                <w:rFonts w:ascii="宋体" w:hAnsi="宋体" w:eastAsia="宋体" w:cs="宋体"/>
              </w:rPr>
            </w:pPr>
            <w:r>
              <w:rPr>
                <w:rFonts w:hint="eastAsia" w:ascii="宋体" w:hAnsi="宋体" w:eastAsia="宋体" w:cs="宋体"/>
                <w:b/>
                <w:bCs/>
              </w:rPr>
              <w:t>二级指标</w:t>
            </w:r>
          </w:p>
        </w:tc>
        <w:tc>
          <w:tcPr>
            <w:tcW w:w="8093" w:type="dxa"/>
            <w:gridSpan w:val="2"/>
            <w:tcBorders>
              <w:top w:val="single" w:color="000000" w:sz="4" w:space="0"/>
              <w:left w:val="single" w:color="000000" w:sz="4" w:space="0"/>
              <w:bottom w:val="single" w:color="000000" w:sz="4" w:space="0"/>
              <w:right w:val="single" w:color="auto" w:sz="4" w:space="0"/>
            </w:tcBorders>
            <w:vAlign w:val="center"/>
          </w:tcPr>
          <w:p w14:paraId="717B82A0">
            <w:pPr>
              <w:spacing w:line="68" w:lineRule="atLeast"/>
              <w:ind w:firstLine="0" w:firstLineChars="0"/>
              <w:jc w:val="center"/>
              <w:rPr>
                <w:rFonts w:ascii="宋体" w:hAnsi="宋体" w:eastAsia="宋体" w:cs="宋体"/>
              </w:rPr>
            </w:pPr>
            <w:r>
              <w:rPr>
                <w:rFonts w:hint="eastAsia" w:ascii="宋体" w:hAnsi="宋体" w:eastAsia="宋体" w:cs="宋体"/>
                <w:b/>
                <w:bCs/>
              </w:rPr>
              <w:t>三级指标</w:t>
            </w:r>
          </w:p>
        </w:tc>
        <w:tc>
          <w:tcPr>
            <w:tcW w:w="3423" w:type="dxa"/>
            <w:vMerge w:val="restart"/>
            <w:tcBorders>
              <w:top w:val="single" w:color="000000" w:sz="4" w:space="0"/>
              <w:left w:val="single" w:color="auto" w:sz="4" w:space="0"/>
              <w:bottom w:val="single" w:color="000000" w:sz="4" w:space="0"/>
              <w:right w:val="single" w:color="auto" w:sz="4" w:space="0"/>
            </w:tcBorders>
            <w:vAlign w:val="center"/>
          </w:tcPr>
          <w:p w14:paraId="6520618A">
            <w:pPr>
              <w:spacing w:line="68" w:lineRule="atLeast"/>
              <w:ind w:firstLine="0" w:firstLineChars="0"/>
              <w:jc w:val="center"/>
              <w:rPr>
                <w:rFonts w:ascii="宋体" w:hAnsi="宋体" w:eastAsia="宋体" w:cs="宋体"/>
              </w:rPr>
            </w:pPr>
            <w:r>
              <w:rPr>
                <w:rFonts w:hint="eastAsia" w:ascii="宋体" w:hAnsi="宋体" w:eastAsia="宋体" w:cs="宋体"/>
                <w:b/>
                <w:bCs/>
              </w:rPr>
              <w:t>评分标准</w:t>
            </w:r>
          </w:p>
        </w:tc>
        <w:tc>
          <w:tcPr>
            <w:tcW w:w="1090" w:type="dxa"/>
            <w:vMerge w:val="restart"/>
            <w:tcBorders>
              <w:top w:val="single" w:color="000000" w:sz="4" w:space="0"/>
              <w:left w:val="single" w:color="auto" w:sz="4" w:space="0"/>
              <w:bottom w:val="single" w:color="000000" w:sz="4" w:space="0"/>
              <w:right w:val="single" w:color="auto" w:sz="4" w:space="0"/>
            </w:tcBorders>
            <w:vAlign w:val="center"/>
          </w:tcPr>
          <w:p w14:paraId="445B54C9">
            <w:pPr>
              <w:spacing w:line="68" w:lineRule="atLeast"/>
              <w:ind w:firstLine="0" w:firstLineChars="0"/>
              <w:jc w:val="center"/>
              <w:rPr>
                <w:rFonts w:ascii="宋体" w:hAnsi="宋体" w:eastAsia="宋体" w:cs="宋体"/>
              </w:rPr>
            </w:pPr>
            <w:r>
              <w:rPr>
                <w:rFonts w:hint="eastAsia" w:ascii="宋体" w:hAnsi="宋体" w:eastAsia="宋体" w:cs="宋体"/>
                <w:b/>
                <w:bCs/>
              </w:rPr>
              <w:t>得分</w:t>
            </w:r>
          </w:p>
        </w:tc>
      </w:tr>
      <w:tr w14:paraId="78B01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blHeader/>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453FE2CB">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2D559784">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7D6B3D37">
            <w:pPr>
              <w:spacing w:line="68" w:lineRule="atLeast"/>
              <w:ind w:firstLine="0" w:firstLineChars="0"/>
              <w:jc w:val="center"/>
              <w:rPr>
                <w:rFonts w:ascii="宋体" w:hAnsi="宋体" w:eastAsia="宋体" w:cs="宋体"/>
              </w:rPr>
            </w:pPr>
            <w:r>
              <w:rPr>
                <w:rFonts w:hint="eastAsia" w:ascii="宋体" w:hAnsi="宋体" w:eastAsia="宋体" w:cs="宋体"/>
                <w:b/>
                <w:bCs/>
              </w:rPr>
              <w:t>指标名称</w:t>
            </w:r>
          </w:p>
        </w:tc>
        <w:tc>
          <w:tcPr>
            <w:tcW w:w="6911" w:type="dxa"/>
            <w:tcBorders>
              <w:top w:val="single" w:color="000000" w:sz="4" w:space="0"/>
              <w:left w:val="single" w:color="auto" w:sz="4" w:space="0"/>
              <w:bottom w:val="single" w:color="000000" w:sz="4" w:space="0"/>
              <w:right w:val="single" w:color="auto" w:sz="4" w:space="0"/>
            </w:tcBorders>
            <w:vAlign w:val="center"/>
          </w:tcPr>
          <w:p w14:paraId="7C3EBCEE">
            <w:pPr>
              <w:spacing w:line="68" w:lineRule="atLeast"/>
              <w:ind w:firstLine="0" w:firstLineChars="0"/>
              <w:jc w:val="center"/>
              <w:rPr>
                <w:rFonts w:ascii="宋体" w:hAnsi="宋体" w:eastAsia="宋体" w:cs="宋体"/>
              </w:rPr>
            </w:pPr>
            <w:r>
              <w:rPr>
                <w:rFonts w:hint="eastAsia" w:ascii="宋体" w:hAnsi="宋体" w:eastAsia="宋体" w:cs="宋体"/>
                <w:b/>
                <w:bCs/>
              </w:rPr>
              <w:t>指标解释说明</w:t>
            </w:r>
          </w:p>
        </w:tc>
        <w:tc>
          <w:tcPr>
            <w:tcW w:w="3423" w:type="dxa"/>
            <w:vMerge w:val="continue"/>
            <w:tcBorders>
              <w:top w:val="single" w:color="000000" w:sz="4" w:space="0"/>
              <w:left w:val="single" w:color="auto" w:sz="4" w:space="0"/>
              <w:bottom w:val="single" w:color="000000" w:sz="4" w:space="0"/>
              <w:right w:val="single" w:color="auto" w:sz="4" w:space="0"/>
            </w:tcBorders>
            <w:vAlign w:val="center"/>
          </w:tcPr>
          <w:p w14:paraId="5766FA12">
            <w:pPr>
              <w:ind w:firstLine="0" w:firstLineChars="0"/>
              <w:rPr>
                <w:rFonts w:ascii="宋体" w:hAnsi="宋体" w:eastAsia="宋体" w:cs="宋体"/>
              </w:rPr>
            </w:pPr>
          </w:p>
        </w:tc>
        <w:tc>
          <w:tcPr>
            <w:tcW w:w="1090" w:type="dxa"/>
            <w:vMerge w:val="continue"/>
            <w:tcBorders>
              <w:top w:val="single" w:color="000000" w:sz="4" w:space="0"/>
              <w:left w:val="single" w:color="auto" w:sz="4" w:space="0"/>
              <w:bottom w:val="single" w:color="000000" w:sz="4" w:space="0"/>
              <w:right w:val="single" w:color="auto" w:sz="4" w:space="0"/>
            </w:tcBorders>
            <w:vAlign w:val="center"/>
          </w:tcPr>
          <w:p w14:paraId="38F3DAFE">
            <w:pPr>
              <w:ind w:firstLine="0" w:firstLineChars="0"/>
              <w:rPr>
                <w:rFonts w:ascii="宋体" w:hAnsi="宋体" w:eastAsia="宋体" w:cs="宋体"/>
              </w:rPr>
            </w:pPr>
          </w:p>
        </w:tc>
      </w:tr>
      <w:tr w14:paraId="1EF2A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jc w:val="center"/>
        </w:trPr>
        <w:tc>
          <w:tcPr>
            <w:tcW w:w="733" w:type="dxa"/>
            <w:vMerge w:val="restart"/>
            <w:tcBorders>
              <w:top w:val="single" w:color="000000" w:sz="4" w:space="0"/>
              <w:left w:val="single" w:color="000000" w:sz="4" w:space="0"/>
              <w:right w:val="single" w:color="000000" w:sz="4" w:space="0"/>
            </w:tcBorders>
          </w:tcPr>
          <w:p w14:paraId="7C84AAE8">
            <w:pPr>
              <w:spacing w:line="68" w:lineRule="atLeast"/>
              <w:ind w:firstLine="0" w:firstLineChars="0"/>
              <w:rPr>
                <w:rFonts w:ascii="宋体" w:hAnsi="宋体" w:eastAsia="宋体" w:cs="宋体"/>
              </w:rPr>
            </w:pPr>
          </w:p>
          <w:p w14:paraId="1E498CE3">
            <w:pPr>
              <w:spacing w:line="68" w:lineRule="atLeast"/>
              <w:ind w:firstLine="0" w:firstLineChars="0"/>
              <w:rPr>
                <w:rFonts w:ascii="宋体" w:hAnsi="宋体" w:eastAsia="宋体" w:cs="宋体"/>
              </w:rPr>
            </w:pPr>
          </w:p>
          <w:p w14:paraId="68966EF0">
            <w:pPr>
              <w:spacing w:line="68" w:lineRule="atLeast"/>
              <w:ind w:firstLine="0" w:firstLineChars="0"/>
              <w:rPr>
                <w:rFonts w:ascii="宋体" w:hAnsi="宋体" w:eastAsia="宋体" w:cs="宋体"/>
              </w:rPr>
            </w:pPr>
          </w:p>
          <w:p w14:paraId="107A4C5D">
            <w:pPr>
              <w:spacing w:line="68" w:lineRule="atLeast"/>
              <w:ind w:firstLine="0" w:firstLineChars="0"/>
              <w:rPr>
                <w:rFonts w:ascii="宋体" w:hAnsi="宋体" w:eastAsia="宋体" w:cs="宋体"/>
              </w:rPr>
            </w:pPr>
          </w:p>
          <w:p w14:paraId="4B401BC8">
            <w:pPr>
              <w:spacing w:line="68" w:lineRule="atLeast"/>
              <w:ind w:firstLine="0" w:firstLineChars="0"/>
              <w:rPr>
                <w:rFonts w:ascii="宋体" w:hAnsi="宋体" w:eastAsia="宋体" w:cs="宋体"/>
              </w:rPr>
            </w:pPr>
          </w:p>
          <w:p w14:paraId="14288FA6">
            <w:pPr>
              <w:spacing w:line="68" w:lineRule="atLeast"/>
              <w:ind w:firstLine="0" w:firstLineChars="0"/>
              <w:rPr>
                <w:rFonts w:ascii="宋体" w:hAnsi="宋体" w:eastAsia="宋体" w:cs="宋体"/>
              </w:rPr>
            </w:pPr>
          </w:p>
          <w:p w14:paraId="1E734423">
            <w:pPr>
              <w:spacing w:line="68" w:lineRule="atLeast"/>
              <w:ind w:firstLine="0" w:firstLineChars="0"/>
              <w:rPr>
                <w:rFonts w:ascii="宋体" w:hAnsi="宋体" w:eastAsia="宋体" w:cs="宋体"/>
              </w:rPr>
            </w:pPr>
          </w:p>
          <w:p w14:paraId="4C5DB0FA">
            <w:pPr>
              <w:spacing w:line="68" w:lineRule="atLeast"/>
              <w:ind w:firstLine="0" w:firstLineChars="0"/>
              <w:rPr>
                <w:rFonts w:ascii="宋体" w:hAnsi="宋体" w:eastAsia="宋体" w:cs="宋体"/>
              </w:rPr>
            </w:pPr>
          </w:p>
          <w:p w14:paraId="56C2DFAC">
            <w:pPr>
              <w:spacing w:line="68" w:lineRule="atLeast"/>
              <w:ind w:firstLine="0" w:firstLineChars="0"/>
              <w:rPr>
                <w:rFonts w:ascii="宋体" w:hAnsi="宋体" w:eastAsia="宋体" w:cs="宋体"/>
              </w:rPr>
            </w:pPr>
          </w:p>
          <w:p w14:paraId="3331B612">
            <w:pPr>
              <w:spacing w:line="68" w:lineRule="atLeast"/>
              <w:ind w:firstLine="0" w:firstLineChars="0"/>
              <w:rPr>
                <w:rFonts w:ascii="宋体" w:hAnsi="宋体" w:eastAsia="宋体" w:cs="宋体"/>
              </w:rPr>
            </w:pPr>
          </w:p>
          <w:p w14:paraId="2DC6CBF7">
            <w:pPr>
              <w:spacing w:line="68" w:lineRule="atLeast"/>
              <w:ind w:firstLine="0" w:firstLineChars="0"/>
              <w:rPr>
                <w:rFonts w:ascii="宋体" w:hAnsi="宋体" w:eastAsia="宋体" w:cs="宋体"/>
              </w:rPr>
            </w:pPr>
            <w:r>
              <w:rPr>
                <w:rFonts w:hint="eastAsia" w:ascii="宋体" w:hAnsi="宋体" w:eastAsia="宋体" w:cs="宋体"/>
              </w:rPr>
              <w:t>投入（15分）</w:t>
            </w:r>
          </w:p>
          <w:p w14:paraId="1D13A6CC">
            <w:pPr>
              <w:spacing w:line="68" w:lineRule="atLeast"/>
              <w:ind w:firstLine="0" w:firstLineChars="0"/>
              <w:rPr>
                <w:rFonts w:ascii="宋体" w:hAnsi="宋体" w:eastAsia="宋体" w:cs="宋体"/>
              </w:rPr>
            </w:pPr>
          </w:p>
          <w:p w14:paraId="75CBD596">
            <w:pPr>
              <w:spacing w:line="68" w:lineRule="atLeast"/>
              <w:ind w:firstLine="0" w:firstLineChars="0"/>
              <w:rPr>
                <w:rFonts w:ascii="宋体" w:hAnsi="宋体" w:eastAsia="宋体" w:cs="宋体"/>
              </w:rPr>
            </w:pPr>
          </w:p>
          <w:p w14:paraId="3FB92F60">
            <w:pPr>
              <w:spacing w:line="68" w:lineRule="atLeast"/>
              <w:ind w:firstLine="0" w:firstLineChars="0"/>
              <w:rPr>
                <w:rFonts w:ascii="宋体" w:hAnsi="宋体" w:eastAsia="宋体" w:cs="宋体"/>
              </w:rPr>
            </w:pPr>
          </w:p>
          <w:p w14:paraId="21C90A25">
            <w:pPr>
              <w:spacing w:line="68" w:lineRule="atLeast"/>
              <w:ind w:firstLine="0" w:firstLineChars="0"/>
              <w:rPr>
                <w:rFonts w:ascii="宋体" w:hAnsi="宋体" w:eastAsia="宋体" w:cs="宋体"/>
              </w:rPr>
            </w:pPr>
          </w:p>
          <w:p w14:paraId="45FEEC62">
            <w:pPr>
              <w:spacing w:line="68" w:lineRule="atLeast"/>
              <w:ind w:firstLine="0" w:firstLineChars="0"/>
              <w:rPr>
                <w:rFonts w:ascii="宋体" w:hAnsi="宋体" w:eastAsia="宋体" w:cs="宋体"/>
              </w:rPr>
            </w:pPr>
          </w:p>
          <w:p w14:paraId="6A199B08">
            <w:pPr>
              <w:spacing w:line="68" w:lineRule="atLeast"/>
              <w:ind w:firstLine="0" w:firstLineChars="0"/>
              <w:rPr>
                <w:rFonts w:ascii="宋体" w:hAnsi="宋体" w:eastAsia="宋体" w:cs="宋体"/>
              </w:rPr>
            </w:pPr>
          </w:p>
          <w:p w14:paraId="7FBC1259">
            <w:pPr>
              <w:spacing w:line="68" w:lineRule="atLeast"/>
              <w:ind w:firstLine="0" w:firstLineChars="0"/>
              <w:rPr>
                <w:rFonts w:ascii="宋体" w:hAnsi="宋体" w:eastAsia="宋体" w:cs="宋体"/>
              </w:rPr>
            </w:pPr>
          </w:p>
          <w:p w14:paraId="7ABCBFE4">
            <w:pPr>
              <w:spacing w:line="68" w:lineRule="atLeast"/>
              <w:ind w:firstLine="0" w:firstLineChars="0"/>
              <w:rPr>
                <w:rFonts w:ascii="宋体" w:hAnsi="宋体" w:eastAsia="宋体" w:cs="宋体"/>
              </w:rPr>
            </w:pPr>
          </w:p>
          <w:p w14:paraId="0B4F22FB">
            <w:pPr>
              <w:spacing w:line="68" w:lineRule="atLeast"/>
              <w:ind w:firstLine="0" w:firstLineChars="0"/>
              <w:rPr>
                <w:rFonts w:ascii="宋体" w:hAnsi="宋体" w:eastAsia="宋体" w:cs="宋体"/>
              </w:rPr>
            </w:pPr>
          </w:p>
          <w:p w14:paraId="77963AF4">
            <w:pPr>
              <w:spacing w:line="68" w:lineRule="atLeast"/>
              <w:ind w:firstLine="0" w:firstLineChars="0"/>
              <w:rPr>
                <w:rFonts w:ascii="宋体" w:hAnsi="宋体" w:eastAsia="宋体" w:cs="宋体"/>
              </w:rPr>
            </w:pPr>
          </w:p>
          <w:p w14:paraId="710628B1">
            <w:pPr>
              <w:spacing w:line="68" w:lineRule="atLeast"/>
              <w:ind w:firstLine="0" w:firstLineChars="0"/>
              <w:rPr>
                <w:rFonts w:ascii="宋体" w:hAnsi="宋体" w:eastAsia="宋体" w:cs="宋体"/>
              </w:rPr>
            </w:pPr>
          </w:p>
          <w:p w14:paraId="2D3AEA73">
            <w:pPr>
              <w:spacing w:line="68" w:lineRule="atLeast"/>
              <w:ind w:firstLine="0" w:firstLineChars="0"/>
              <w:rPr>
                <w:rFonts w:ascii="宋体" w:hAnsi="宋体" w:eastAsia="宋体" w:cs="宋体"/>
              </w:rPr>
            </w:pPr>
          </w:p>
          <w:p w14:paraId="3DCEF8B3">
            <w:pPr>
              <w:spacing w:line="68" w:lineRule="atLeast"/>
              <w:ind w:firstLine="0" w:firstLineChars="0"/>
              <w:rPr>
                <w:rFonts w:ascii="宋体" w:hAnsi="宋体" w:eastAsia="宋体" w:cs="宋体"/>
              </w:rPr>
            </w:pPr>
          </w:p>
          <w:p w14:paraId="53B676F4">
            <w:pPr>
              <w:spacing w:line="68" w:lineRule="atLeast"/>
              <w:ind w:firstLine="0" w:firstLineChars="0"/>
              <w:rPr>
                <w:rFonts w:ascii="宋体" w:hAnsi="宋体" w:eastAsia="宋体" w:cs="宋体"/>
              </w:rPr>
            </w:pPr>
          </w:p>
          <w:p w14:paraId="4AC1B97C">
            <w:pPr>
              <w:spacing w:line="68" w:lineRule="atLeast"/>
              <w:ind w:firstLine="0" w:firstLineChars="0"/>
              <w:rPr>
                <w:rFonts w:ascii="宋体" w:hAnsi="宋体" w:eastAsia="宋体" w:cs="宋体"/>
              </w:rPr>
            </w:pPr>
          </w:p>
          <w:p w14:paraId="05EEF1D4">
            <w:pPr>
              <w:spacing w:line="68" w:lineRule="atLeast"/>
              <w:ind w:firstLine="0" w:firstLineChars="0"/>
              <w:rPr>
                <w:rFonts w:ascii="宋体" w:hAnsi="宋体" w:eastAsia="宋体" w:cs="宋体"/>
              </w:rPr>
            </w:pPr>
          </w:p>
          <w:p w14:paraId="65B96033">
            <w:pPr>
              <w:spacing w:line="68" w:lineRule="atLeast"/>
              <w:ind w:firstLine="0" w:firstLineChars="0"/>
              <w:rPr>
                <w:rFonts w:ascii="宋体" w:hAnsi="宋体" w:eastAsia="宋体" w:cs="宋体"/>
              </w:rPr>
            </w:pPr>
          </w:p>
          <w:p w14:paraId="27EFC57D">
            <w:pPr>
              <w:spacing w:line="68" w:lineRule="atLeast"/>
              <w:ind w:firstLine="0" w:firstLineChars="0"/>
              <w:rPr>
                <w:rFonts w:ascii="宋体" w:hAnsi="宋体" w:eastAsia="宋体" w:cs="宋体"/>
              </w:rPr>
            </w:pPr>
          </w:p>
          <w:p w14:paraId="6E2D4D4E">
            <w:pPr>
              <w:spacing w:line="68" w:lineRule="atLeast"/>
              <w:ind w:firstLine="0" w:firstLineChars="0"/>
              <w:rPr>
                <w:rFonts w:ascii="宋体" w:hAnsi="宋体" w:eastAsia="宋体" w:cs="宋体"/>
              </w:rPr>
            </w:pPr>
          </w:p>
          <w:p w14:paraId="21F55FB5">
            <w:pPr>
              <w:spacing w:line="68" w:lineRule="atLeast"/>
              <w:ind w:firstLine="0" w:firstLineChars="0"/>
              <w:rPr>
                <w:rFonts w:ascii="宋体" w:hAnsi="宋体" w:eastAsia="宋体" w:cs="宋体"/>
              </w:rPr>
            </w:pPr>
            <w:r>
              <w:rPr>
                <w:rFonts w:hint="eastAsia" w:ascii="宋体" w:hAnsi="宋体" w:eastAsia="宋体" w:cs="宋体"/>
              </w:rPr>
              <w:t>投入（15分）</w:t>
            </w:r>
          </w:p>
        </w:tc>
        <w:tc>
          <w:tcPr>
            <w:tcW w:w="803" w:type="dxa"/>
            <w:vMerge w:val="restart"/>
            <w:tcBorders>
              <w:top w:val="single" w:color="000000" w:sz="4" w:space="0"/>
              <w:left w:val="single" w:color="000000" w:sz="4" w:space="0"/>
              <w:right w:val="single" w:color="000000" w:sz="4" w:space="0"/>
            </w:tcBorders>
          </w:tcPr>
          <w:p w14:paraId="65FF0EB8">
            <w:pPr>
              <w:spacing w:line="240" w:lineRule="exact"/>
              <w:ind w:firstLine="0" w:firstLineChars="0"/>
              <w:rPr>
                <w:rFonts w:ascii="宋体" w:hAnsi="宋体" w:eastAsia="宋体" w:cs="宋体"/>
              </w:rPr>
            </w:pPr>
          </w:p>
          <w:p w14:paraId="16268B48">
            <w:pPr>
              <w:spacing w:line="240" w:lineRule="exact"/>
              <w:ind w:firstLine="0" w:firstLineChars="0"/>
              <w:rPr>
                <w:rFonts w:ascii="宋体" w:hAnsi="宋体" w:eastAsia="宋体" w:cs="宋体"/>
              </w:rPr>
            </w:pPr>
          </w:p>
          <w:p w14:paraId="4B721790">
            <w:pPr>
              <w:spacing w:line="240" w:lineRule="exact"/>
              <w:ind w:firstLine="0" w:firstLineChars="0"/>
              <w:rPr>
                <w:rFonts w:ascii="宋体" w:hAnsi="宋体" w:eastAsia="宋体" w:cs="宋体"/>
              </w:rPr>
            </w:pPr>
          </w:p>
          <w:p w14:paraId="1F7897A9">
            <w:pPr>
              <w:spacing w:line="240" w:lineRule="exact"/>
              <w:ind w:firstLine="0" w:firstLineChars="0"/>
              <w:rPr>
                <w:rFonts w:ascii="宋体" w:hAnsi="宋体" w:eastAsia="宋体" w:cs="宋体"/>
              </w:rPr>
            </w:pPr>
          </w:p>
          <w:p w14:paraId="202A9772">
            <w:pPr>
              <w:spacing w:line="240" w:lineRule="exact"/>
              <w:ind w:firstLine="0" w:firstLineChars="0"/>
              <w:rPr>
                <w:rFonts w:ascii="宋体" w:hAnsi="宋体" w:eastAsia="宋体" w:cs="宋体"/>
              </w:rPr>
            </w:pPr>
          </w:p>
          <w:p w14:paraId="78B7AB24">
            <w:pPr>
              <w:spacing w:line="240" w:lineRule="exact"/>
              <w:ind w:firstLine="0" w:firstLineChars="0"/>
              <w:rPr>
                <w:rFonts w:ascii="宋体" w:hAnsi="宋体" w:eastAsia="宋体" w:cs="宋体"/>
              </w:rPr>
            </w:pPr>
          </w:p>
          <w:p w14:paraId="549295A1">
            <w:pPr>
              <w:spacing w:line="240" w:lineRule="exact"/>
              <w:ind w:firstLine="0" w:firstLineChars="0"/>
              <w:rPr>
                <w:rFonts w:ascii="宋体" w:hAnsi="宋体" w:eastAsia="宋体" w:cs="宋体"/>
              </w:rPr>
            </w:pPr>
          </w:p>
          <w:p w14:paraId="2E6996F6">
            <w:pPr>
              <w:spacing w:line="240" w:lineRule="exact"/>
              <w:ind w:firstLine="0" w:firstLineChars="0"/>
              <w:rPr>
                <w:rFonts w:ascii="宋体" w:hAnsi="宋体" w:eastAsia="宋体" w:cs="宋体"/>
              </w:rPr>
            </w:pPr>
          </w:p>
          <w:p w14:paraId="07CCA6CB">
            <w:pPr>
              <w:spacing w:line="240" w:lineRule="exact"/>
              <w:ind w:firstLine="0" w:firstLineChars="0"/>
              <w:rPr>
                <w:rFonts w:ascii="宋体" w:hAnsi="宋体" w:eastAsia="宋体" w:cs="宋体"/>
              </w:rPr>
            </w:pPr>
          </w:p>
          <w:p w14:paraId="4E39D62E">
            <w:pPr>
              <w:spacing w:line="240" w:lineRule="exact"/>
              <w:ind w:firstLine="0" w:firstLineChars="0"/>
              <w:rPr>
                <w:rFonts w:ascii="宋体" w:hAnsi="宋体" w:eastAsia="宋体" w:cs="宋体"/>
              </w:rPr>
            </w:pPr>
          </w:p>
          <w:p w14:paraId="2EF45B50">
            <w:pPr>
              <w:spacing w:line="240" w:lineRule="exact"/>
              <w:ind w:firstLine="0" w:firstLineChars="0"/>
              <w:rPr>
                <w:rFonts w:ascii="宋体" w:hAnsi="宋体" w:eastAsia="宋体" w:cs="宋体"/>
              </w:rPr>
            </w:pPr>
          </w:p>
          <w:p w14:paraId="7882A28C">
            <w:pPr>
              <w:spacing w:line="240" w:lineRule="exact"/>
              <w:ind w:firstLine="0" w:firstLineChars="0"/>
              <w:rPr>
                <w:rFonts w:ascii="宋体" w:hAnsi="宋体" w:eastAsia="宋体" w:cs="宋体"/>
              </w:rPr>
            </w:pPr>
          </w:p>
          <w:p w14:paraId="08811DEA">
            <w:pPr>
              <w:spacing w:line="240" w:lineRule="exact"/>
              <w:ind w:firstLine="0" w:firstLineChars="0"/>
              <w:rPr>
                <w:rFonts w:ascii="宋体" w:hAnsi="宋体" w:eastAsia="宋体" w:cs="宋体"/>
              </w:rPr>
            </w:pPr>
          </w:p>
          <w:p w14:paraId="0F6E39DE">
            <w:pPr>
              <w:spacing w:line="240" w:lineRule="exact"/>
              <w:ind w:firstLine="0" w:firstLineChars="0"/>
              <w:rPr>
                <w:rFonts w:ascii="宋体" w:hAnsi="宋体" w:eastAsia="宋体" w:cs="宋体"/>
              </w:rPr>
            </w:pPr>
            <w:r>
              <w:rPr>
                <w:rFonts w:hint="eastAsia" w:ascii="宋体" w:hAnsi="宋体" w:eastAsia="宋体" w:cs="宋体"/>
              </w:rPr>
              <w:t>目标设定</w:t>
            </w:r>
          </w:p>
          <w:p w14:paraId="4FB4774C">
            <w:pPr>
              <w:spacing w:line="68" w:lineRule="atLeast"/>
              <w:ind w:firstLine="0" w:firstLineChars="0"/>
              <w:rPr>
                <w:rFonts w:ascii="宋体" w:hAnsi="宋体" w:eastAsia="宋体" w:cs="宋体"/>
              </w:rPr>
            </w:pPr>
            <w:r>
              <w:rPr>
                <w:rFonts w:hint="eastAsia" w:ascii="宋体" w:hAnsi="宋体" w:eastAsia="宋体" w:cs="宋体"/>
              </w:rPr>
              <w:t>（5分）</w:t>
            </w:r>
          </w:p>
        </w:tc>
        <w:tc>
          <w:tcPr>
            <w:tcW w:w="1182" w:type="dxa"/>
            <w:tcBorders>
              <w:top w:val="single" w:color="000000" w:sz="4" w:space="0"/>
              <w:left w:val="single" w:color="000000" w:sz="4" w:space="0"/>
              <w:bottom w:val="single" w:color="auto" w:sz="4" w:space="0"/>
              <w:right w:val="single" w:color="auto" w:sz="4" w:space="0"/>
            </w:tcBorders>
          </w:tcPr>
          <w:p w14:paraId="4C55D77C">
            <w:pPr>
              <w:spacing w:line="68" w:lineRule="atLeast"/>
              <w:ind w:firstLine="0" w:firstLineChars="0"/>
              <w:rPr>
                <w:rFonts w:ascii="宋体" w:hAnsi="宋体" w:eastAsia="宋体" w:cs="宋体"/>
              </w:rPr>
            </w:pPr>
            <w:r>
              <w:rPr>
                <w:rFonts w:hint="eastAsia" w:ascii="宋体" w:hAnsi="宋体" w:eastAsia="宋体" w:cs="宋体"/>
              </w:rPr>
              <w:t>职责明确（1分）</w:t>
            </w:r>
          </w:p>
        </w:tc>
        <w:tc>
          <w:tcPr>
            <w:tcW w:w="6911" w:type="dxa"/>
            <w:tcBorders>
              <w:top w:val="single" w:color="000000" w:sz="4" w:space="0"/>
              <w:left w:val="single" w:color="auto" w:sz="4" w:space="0"/>
              <w:bottom w:val="single" w:color="auto" w:sz="4" w:space="0"/>
              <w:right w:val="single" w:color="auto" w:sz="4" w:space="0"/>
            </w:tcBorders>
          </w:tcPr>
          <w:p w14:paraId="7F6B7C8B">
            <w:pPr>
              <w:spacing w:line="68" w:lineRule="atLeast"/>
              <w:ind w:firstLine="0" w:firstLineChars="0"/>
              <w:rPr>
                <w:rFonts w:ascii="宋体" w:hAnsi="宋体" w:eastAsia="宋体" w:cs="宋体"/>
              </w:rPr>
            </w:pPr>
            <w:r>
              <w:rPr>
                <w:rFonts w:hint="eastAsia" w:ascii="宋体" w:hAnsi="宋体" w:eastAsia="宋体" w:cs="宋体"/>
              </w:rPr>
              <w:t>部门的职责设定是否符合“三定”方案中所赋予的职责和年度承担的重点工作，用以反映和评价部门工作的目的性与计划性。</w:t>
            </w:r>
          </w:p>
        </w:tc>
        <w:tc>
          <w:tcPr>
            <w:tcW w:w="3423" w:type="dxa"/>
            <w:tcBorders>
              <w:top w:val="single" w:color="000000" w:sz="4" w:space="0"/>
              <w:left w:val="single" w:color="auto" w:sz="4" w:space="0"/>
              <w:bottom w:val="single" w:color="auto" w:sz="4" w:space="0"/>
              <w:right w:val="single" w:color="auto" w:sz="4" w:space="0"/>
            </w:tcBorders>
          </w:tcPr>
          <w:p w14:paraId="5EC07921">
            <w:pPr>
              <w:spacing w:line="240" w:lineRule="exact"/>
              <w:ind w:firstLine="0" w:firstLineChars="0"/>
              <w:rPr>
                <w:rFonts w:ascii="宋体" w:hAnsi="宋体" w:eastAsia="宋体" w:cs="宋体"/>
              </w:rPr>
            </w:pPr>
            <w:r>
              <w:rPr>
                <w:rFonts w:hint="eastAsia" w:ascii="宋体" w:hAnsi="宋体" w:eastAsia="宋体" w:cs="宋体"/>
              </w:rPr>
              <w:t>符合（1分）；</w:t>
            </w:r>
          </w:p>
          <w:p w14:paraId="7FED3BAC">
            <w:pPr>
              <w:spacing w:line="68" w:lineRule="atLeast"/>
              <w:ind w:firstLine="0" w:firstLineChars="0"/>
              <w:rPr>
                <w:rFonts w:ascii="宋体" w:hAnsi="宋体" w:eastAsia="宋体" w:cs="宋体"/>
              </w:rPr>
            </w:pPr>
            <w:r>
              <w:rPr>
                <w:rFonts w:hint="eastAsia" w:ascii="宋体" w:hAnsi="宋体" w:eastAsia="宋体" w:cs="宋体"/>
              </w:rPr>
              <w:t>不符合（0分）。</w:t>
            </w:r>
          </w:p>
        </w:tc>
        <w:tc>
          <w:tcPr>
            <w:tcW w:w="1090" w:type="dxa"/>
            <w:tcBorders>
              <w:top w:val="single" w:color="000000" w:sz="4" w:space="0"/>
              <w:left w:val="single" w:color="auto" w:sz="4" w:space="0"/>
              <w:bottom w:val="single" w:color="auto" w:sz="4" w:space="0"/>
              <w:right w:val="single" w:color="000000" w:sz="4" w:space="0"/>
            </w:tcBorders>
          </w:tcPr>
          <w:p w14:paraId="7361DDF6">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1</w:t>
            </w:r>
          </w:p>
        </w:tc>
      </w:tr>
      <w:tr w14:paraId="0D9E7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4" w:hRule="atLeast"/>
          <w:jc w:val="center"/>
        </w:trPr>
        <w:tc>
          <w:tcPr>
            <w:tcW w:w="733" w:type="dxa"/>
            <w:vMerge w:val="continue"/>
            <w:tcBorders>
              <w:left w:val="single" w:color="000000" w:sz="4" w:space="0"/>
              <w:right w:val="single" w:color="000000" w:sz="4" w:space="0"/>
            </w:tcBorders>
            <w:vAlign w:val="center"/>
          </w:tcPr>
          <w:p w14:paraId="1BD7FB16">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6D53F951">
            <w:pPr>
              <w:ind w:firstLine="0" w:firstLineChars="0"/>
              <w:rPr>
                <w:rFonts w:ascii="宋体" w:hAnsi="宋体" w:eastAsia="宋体" w:cs="宋体"/>
              </w:rPr>
            </w:pPr>
          </w:p>
        </w:tc>
        <w:tc>
          <w:tcPr>
            <w:tcW w:w="1182" w:type="dxa"/>
            <w:tcBorders>
              <w:top w:val="single" w:color="000000" w:sz="4" w:space="0"/>
              <w:left w:val="single" w:color="000000" w:sz="4" w:space="0"/>
              <w:bottom w:val="single" w:color="auto" w:sz="4" w:space="0"/>
              <w:right w:val="single" w:color="auto" w:sz="4" w:space="0"/>
            </w:tcBorders>
            <w:vAlign w:val="center"/>
          </w:tcPr>
          <w:p w14:paraId="652DC66A">
            <w:pPr>
              <w:spacing w:line="68" w:lineRule="atLeast"/>
              <w:ind w:firstLine="0" w:firstLineChars="0"/>
              <w:rPr>
                <w:rFonts w:ascii="宋体" w:hAnsi="宋体" w:eastAsia="宋体" w:cs="宋体"/>
              </w:rPr>
            </w:pPr>
            <w:r>
              <w:rPr>
                <w:rFonts w:hint="eastAsia" w:ascii="宋体" w:hAnsi="宋体" w:eastAsia="宋体" w:cs="宋体"/>
              </w:rPr>
              <w:t>活动合规性（1分）</w:t>
            </w:r>
          </w:p>
        </w:tc>
        <w:tc>
          <w:tcPr>
            <w:tcW w:w="6911" w:type="dxa"/>
            <w:tcBorders>
              <w:top w:val="single" w:color="000000" w:sz="4" w:space="0"/>
              <w:left w:val="single" w:color="auto" w:sz="4" w:space="0"/>
              <w:bottom w:val="single" w:color="auto" w:sz="4" w:space="0"/>
              <w:right w:val="single" w:color="auto" w:sz="4" w:space="0"/>
            </w:tcBorders>
            <w:vAlign w:val="center"/>
          </w:tcPr>
          <w:p w14:paraId="0889921B">
            <w:pPr>
              <w:spacing w:line="240" w:lineRule="exact"/>
              <w:ind w:firstLine="0" w:firstLineChars="0"/>
              <w:rPr>
                <w:rFonts w:ascii="宋体" w:hAnsi="宋体" w:eastAsia="宋体" w:cs="宋体"/>
              </w:rPr>
            </w:pPr>
            <w:r>
              <w:rPr>
                <w:rFonts w:hint="eastAsia" w:ascii="宋体" w:hAnsi="宋体" w:eastAsia="宋体" w:cs="宋体"/>
              </w:rPr>
              <w:t>部门的活动是否在职责范围之内并符合部门中长期规划，用以反映和评价部门活动目标与部门履职、年度工作任务的相符性情况。</w:t>
            </w:r>
          </w:p>
          <w:p w14:paraId="13C25CAA">
            <w:pPr>
              <w:spacing w:line="240" w:lineRule="exact"/>
              <w:ind w:firstLine="0" w:firstLineChars="0"/>
              <w:rPr>
                <w:rFonts w:ascii="宋体" w:hAnsi="宋体" w:eastAsia="宋体" w:cs="宋体"/>
              </w:rPr>
            </w:pPr>
            <w:r>
              <w:rPr>
                <w:rFonts w:hint="eastAsia" w:ascii="宋体" w:hAnsi="宋体" w:eastAsia="宋体" w:cs="宋体"/>
              </w:rPr>
              <w:t>评价要点：</w:t>
            </w:r>
          </w:p>
          <w:p w14:paraId="14CD9C9E">
            <w:pPr>
              <w:spacing w:line="240" w:lineRule="exact"/>
              <w:ind w:firstLine="0" w:firstLineChars="0"/>
              <w:rPr>
                <w:rFonts w:ascii="宋体" w:hAnsi="宋体" w:eastAsia="宋体" w:cs="宋体"/>
              </w:rPr>
            </w:pPr>
            <w:r>
              <w:rPr>
                <w:rFonts w:hint="eastAsia" w:ascii="宋体" w:hAnsi="宋体" w:eastAsia="宋体" w:cs="宋体"/>
              </w:rPr>
              <w:t>1.部门活动的设定在部门所确定的职责范围之内；</w:t>
            </w:r>
          </w:p>
          <w:p w14:paraId="06ABFD46">
            <w:pPr>
              <w:spacing w:line="68" w:lineRule="atLeast"/>
              <w:ind w:firstLine="0" w:firstLineChars="0"/>
              <w:rPr>
                <w:rFonts w:ascii="宋体" w:hAnsi="宋体" w:eastAsia="宋体" w:cs="宋体"/>
              </w:rPr>
            </w:pPr>
            <w:r>
              <w:rPr>
                <w:rFonts w:hint="eastAsia" w:ascii="宋体" w:hAnsi="宋体" w:eastAsia="宋体" w:cs="宋体"/>
              </w:rPr>
              <w:t>2.部门活动符合市委、市政府的发展规划及本部门的年度工作安排与发展规划。</w:t>
            </w:r>
          </w:p>
        </w:tc>
        <w:tc>
          <w:tcPr>
            <w:tcW w:w="3423" w:type="dxa"/>
            <w:tcBorders>
              <w:top w:val="single" w:color="000000" w:sz="4" w:space="0"/>
              <w:left w:val="single" w:color="auto" w:sz="4" w:space="0"/>
              <w:bottom w:val="single" w:color="auto" w:sz="4" w:space="0"/>
              <w:right w:val="single" w:color="auto" w:sz="4" w:space="0"/>
            </w:tcBorders>
            <w:vAlign w:val="center"/>
          </w:tcPr>
          <w:p w14:paraId="21728802">
            <w:pPr>
              <w:spacing w:line="240" w:lineRule="exact"/>
              <w:ind w:firstLine="0" w:firstLineChars="0"/>
              <w:rPr>
                <w:rFonts w:ascii="宋体" w:hAnsi="宋体" w:eastAsia="宋体" w:cs="宋体"/>
              </w:rPr>
            </w:pPr>
            <w:r>
              <w:rPr>
                <w:rFonts w:hint="eastAsia" w:ascii="宋体" w:hAnsi="宋体" w:eastAsia="宋体" w:cs="宋体"/>
              </w:rPr>
              <w:t>全部符合（1分）；</w:t>
            </w:r>
          </w:p>
          <w:p w14:paraId="711BFBC4">
            <w:pPr>
              <w:spacing w:line="68" w:lineRule="atLeast"/>
              <w:ind w:firstLine="0" w:firstLineChars="0"/>
              <w:rPr>
                <w:rFonts w:ascii="宋体" w:hAnsi="宋体" w:eastAsia="宋体" w:cs="宋体"/>
              </w:rPr>
            </w:pPr>
            <w:r>
              <w:rPr>
                <w:rFonts w:hint="eastAsia" w:ascii="宋体" w:hAnsi="宋体" w:eastAsia="宋体" w:cs="宋体"/>
              </w:rPr>
              <w:t>其中一项不符合（0分）。</w:t>
            </w:r>
          </w:p>
        </w:tc>
        <w:tc>
          <w:tcPr>
            <w:tcW w:w="1090" w:type="dxa"/>
            <w:tcBorders>
              <w:top w:val="single" w:color="000000" w:sz="4" w:space="0"/>
              <w:left w:val="single" w:color="auto" w:sz="4" w:space="0"/>
              <w:bottom w:val="single" w:color="auto" w:sz="4" w:space="0"/>
              <w:right w:val="single" w:color="000000" w:sz="4" w:space="0"/>
            </w:tcBorders>
            <w:vAlign w:val="center"/>
          </w:tcPr>
          <w:p w14:paraId="3E6510DA">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1</w:t>
            </w:r>
          </w:p>
        </w:tc>
      </w:tr>
      <w:tr w14:paraId="1C26A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jc w:val="center"/>
        </w:trPr>
        <w:tc>
          <w:tcPr>
            <w:tcW w:w="733" w:type="dxa"/>
            <w:vMerge w:val="continue"/>
            <w:tcBorders>
              <w:left w:val="single" w:color="000000" w:sz="4" w:space="0"/>
              <w:right w:val="single" w:color="000000" w:sz="4" w:space="0"/>
            </w:tcBorders>
            <w:vAlign w:val="center"/>
          </w:tcPr>
          <w:p w14:paraId="705F3FE2">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2CA15EC6">
            <w:pPr>
              <w:ind w:firstLine="0" w:firstLineChars="0"/>
              <w:rPr>
                <w:rFonts w:ascii="宋体" w:hAnsi="宋体" w:eastAsia="宋体" w:cs="宋体"/>
              </w:rPr>
            </w:pPr>
          </w:p>
        </w:tc>
        <w:tc>
          <w:tcPr>
            <w:tcW w:w="1182" w:type="dxa"/>
            <w:tcBorders>
              <w:top w:val="single" w:color="000000" w:sz="4" w:space="0"/>
              <w:left w:val="single" w:color="000000" w:sz="4" w:space="0"/>
              <w:bottom w:val="single" w:color="auto" w:sz="4" w:space="0"/>
              <w:right w:val="single" w:color="auto" w:sz="4" w:space="0"/>
            </w:tcBorders>
            <w:vAlign w:val="center"/>
          </w:tcPr>
          <w:p w14:paraId="090CC7A1">
            <w:pPr>
              <w:spacing w:line="68" w:lineRule="atLeast"/>
              <w:ind w:firstLine="0" w:firstLineChars="0"/>
              <w:rPr>
                <w:rFonts w:ascii="宋体" w:hAnsi="宋体" w:eastAsia="宋体" w:cs="宋体"/>
              </w:rPr>
            </w:pPr>
            <w:r>
              <w:rPr>
                <w:rFonts w:hint="eastAsia" w:ascii="宋体" w:hAnsi="宋体" w:eastAsia="宋体" w:cs="宋体"/>
              </w:rPr>
              <w:t>活动合理性（1分）</w:t>
            </w:r>
          </w:p>
        </w:tc>
        <w:tc>
          <w:tcPr>
            <w:tcW w:w="6911" w:type="dxa"/>
            <w:tcBorders>
              <w:top w:val="single" w:color="000000" w:sz="4" w:space="0"/>
              <w:left w:val="single" w:color="auto" w:sz="4" w:space="0"/>
              <w:bottom w:val="single" w:color="auto" w:sz="4" w:space="0"/>
              <w:right w:val="single" w:color="auto" w:sz="4" w:space="0"/>
            </w:tcBorders>
            <w:vAlign w:val="center"/>
          </w:tcPr>
          <w:p w14:paraId="44C37002">
            <w:pPr>
              <w:spacing w:line="240" w:lineRule="exact"/>
              <w:ind w:firstLine="0" w:firstLineChars="0"/>
              <w:rPr>
                <w:rFonts w:ascii="宋体" w:hAnsi="宋体" w:eastAsia="宋体" w:cs="宋体"/>
              </w:rPr>
            </w:pPr>
            <w:r>
              <w:rPr>
                <w:rFonts w:hint="eastAsia" w:ascii="宋体" w:hAnsi="宋体" w:eastAsia="宋体" w:cs="宋体"/>
              </w:rPr>
              <w:t>部门所设立的活动是否明确合理、活动的关键性指标设置是否可衡量，用以反映和评价部门活动目标设定的合理性。</w:t>
            </w:r>
          </w:p>
          <w:p w14:paraId="125D96A1">
            <w:pPr>
              <w:spacing w:line="240" w:lineRule="exact"/>
              <w:ind w:firstLine="0" w:firstLineChars="0"/>
              <w:rPr>
                <w:rFonts w:ascii="宋体" w:hAnsi="宋体" w:eastAsia="宋体" w:cs="宋体"/>
              </w:rPr>
            </w:pPr>
            <w:r>
              <w:rPr>
                <w:rFonts w:hint="eastAsia" w:ascii="宋体" w:hAnsi="宋体" w:eastAsia="宋体" w:cs="宋体"/>
              </w:rPr>
              <w:t>评价要点：</w:t>
            </w:r>
          </w:p>
          <w:p w14:paraId="26C21CF0">
            <w:pPr>
              <w:spacing w:line="240" w:lineRule="exact"/>
              <w:ind w:firstLine="0" w:firstLineChars="0"/>
              <w:rPr>
                <w:rFonts w:ascii="宋体" w:hAnsi="宋体" w:eastAsia="宋体" w:cs="宋体"/>
              </w:rPr>
            </w:pPr>
            <w:r>
              <w:rPr>
                <w:rFonts w:hint="eastAsia" w:ascii="宋体" w:hAnsi="宋体" w:eastAsia="宋体" w:cs="宋体"/>
              </w:rPr>
              <w:t>1.活动目标的设定是可量化的，可通过清晰、可衡量的关键指标值予以体现；</w:t>
            </w:r>
          </w:p>
          <w:p w14:paraId="32450465">
            <w:pPr>
              <w:spacing w:line="68" w:lineRule="atLeast"/>
              <w:ind w:firstLine="0" w:firstLineChars="0"/>
              <w:rPr>
                <w:rFonts w:ascii="宋体" w:hAnsi="宋体" w:eastAsia="宋体" w:cs="宋体"/>
              </w:rPr>
            </w:pPr>
            <w:r>
              <w:rPr>
                <w:rFonts w:hint="eastAsia" w:ascii="宋体" w:hAnsi="宋体" w:eastAsia="宋体" w:cs="宋体"/>
              </w:rPr>
              <w:t>2.在活动目标设定时，将关键指标明细分解为具体的达成目标与工作任务。</w:t>
            </w:r>
          </w:p>
        </w:tc>
        <w:tc>
          <w:tcPr>
            <w:tcW w:w="3423" w:type="dxa"/>
            <w:tcBorders>
              <w:top w:val="single" w:color="000000" w:sz="4" w:space="0"/>
              <w:left w:val="single" w:color="auto" w:sz="4" w:space="0"/>
              <w:bottom w:val="single" w:color="auto" w:sz="4" w:space="0"/>
              <w:right w:val="single" w:color="auto" w:sz="4" w:space="0"/>
            </w:tcBorders>
            <w:vAlign w:val="center"/>
          </w:tcPr>
          <w:p w14:paraId="09041CA2">
            <w:pPr>
              <w:spacing w:line="240" w:lineRule="exact"/>
              <w:ind w:firstLine="0" w:firstLineChars="0"/>
              <w:rPr>
                <w:rFonts w:ascii="宋体" w:hAnsi="宋体" w:eastAsia="宋体" w:cs="宋体"/>
              </w:rPr>
            </w:pPr>
            <w:r>
              <w:rPr>
                <w:rFonts w:hint="eastAsia" w:ascii="宋体" w:hAnsi="宋体" w:eastAsia="宋体" w:cs="宋体"/>
              </w:rPr>
              <w:t>全部符合（1分）；</w:t>
            </w:r>
          </w:p>
          <w:p w14:paraId="163106B2">
            <w:pPr>
              <w:spacing w:line="68" w:lineRule="atLeast"/>
              <w:ind w:firstLine="0" w:firstLineChars="0"/>
              <w:rPr>
                <w:rFonts w:ascii="宋体" w:hAnsi="宋体" w:eastAsia="宋体" w:cs="宋体"/>
              </w:rPr>
            </w:pPr>
            <w:r>
              <w:rPr>
                <w:rFonts w:hint="eastAsia" w:ascii="宋体" w:hAnsi="宋体" w:eastAsia="宋体" w:cs="宋体"/>
              </w:rPr>
              <w:t>其中一项不符合（0分）。</w:t>
            </w:r>
          </w:p>
        </w:tc>
        <w:tc>
          <w:tcPr>
            <w:tcW w:w="1090" w:type="dxa"/>
            <w:tcBorders>
              <w:top w:val="single" w:color="000000" w:sz="4" w:space="0"/>
              <w:left w:val="single" w:color="auto" w:sz="4" w:space="0"/>
              <w:bottom w:val="single" w:color="auto" w:sz="4" w:space="0"/>
              <w:right w:val="single" w:color="000000" w:sz="4" w:space="0"/>
            </w:tcBorders>
            <w:vAlign w:val="center"/>
          </w:tcPr>
          <w:p w14:paraId="008209A6">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1</w:t>
            </w:r>
          </w:p>
        </w:tc>
      </w:tr>
      <w:tr w14:paraId="6BAA9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4" w:hRule="atLeast"/>
          <w:jc w:val="center"/>
        </w:trPr>
        <w:tc>
          <w:tcPr>
            <w:tcW w:w="733" w:type="dxa"/>
            <w:vMerge w:val="continue"/>
            <w:tcBorders>
              <w:left w:val="single" w:color="000000" w:sz="4" w:space="0"/>
              <w:right w:val="single" w:color="000000" w:sz="4" w:space="0"/>
            </w:tcBorders>
            <w:vAlign w:val="center"/>
          </w:tcPr>
          <w:p w14:paraId="50D2EFAD">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1EAD7F8F">
            <w:pPr>
              <w:ind w:firstLine="0" w:firstLineChars="0"/>
              <w:rPr>
                <w:rFonts w:ascii="宋体" w:hAnsi="宋体" w:eastAsia="宋体" w:cs="宋体"/>
              </w:rPr>
            </w:pPr>
          </w:p>
        </w:tc>
        <w:tc>
          <w:tcPr>
            <w:tcW w:w="1182" w:type="dxa"/>
            <w:tcBorders>
              <w:top w:val="single" w:color="000000" w:sz="4" w:space="0"/>
              <w:left w:val="single" w:color="000000" w:sz="4" w:space="0"/>
              <w:bottom w:val="single" w:color="auto" w:sz="4" w:space="0"/>
              <w:right w:val="single" w:color="auto" w:sz="4" w:space="0"/>
            </w:tcBorders>
            <w:vAlign w:val="center"/>
          </w:tcPr>
          <w:p w14:paraId="292D7AD8">
            <w:pPr>
              <w:spacing w:line="68" w:lineRule="atLeast"/>
              <w:ind w:firstLine="0" w:firstLineChars="0"/>
              <w:rPr>
                <w:rFonts w:ascii="宋体" w:hAnsi="宋体" w:eastAsia="宋体" w:cs="宋体"/>
              </w:rPr>
            </w:pPr>
            <w:r>
              <w:rPr>
                <w:rFonts w:hint="eastAsia" w:ascii="宋体" w:hAnsi="宋体" w:eastAsia="宋体" w:cs="宋体"/>
              </w:rPr>
              <w:t>目标覆盖率（1分）</w:t>
            </w:r>
          </w:p>
        </w:tc>
        <w:tc>
          <w:tcPr>
            <w:tcW w:w="6911" w:type="dxa"/>
            <w:tcBorders>
              <w:top w:val="single" w:color="000000" w:sz="4" w:space="0"/>
              <w:left w:val="single" w:color="auto" w:sz="4" w:space="0"/>
              <w:bottom w:val="single" w:color="auto" w:sz="4" w:space="0"/>
              <w:right w:val="single" w:color="auto" w:sz="4" w:space="0"/>
            </w:tcBorders>
            <w:vAlign w:val="center"/>
          </w:tcPr>
          <w:p w14:paraId="1FDBBE11">
            <w:pPr>
              <w:spacing w:line="240" w:lineRule="exact"/>
              <w:ind w:firstLine="0" w:firstLineChars="0"/>
              <w:rPr>
                <w:rFonts w:ascii="宋体" w:hAnsi="宋体" w:eastAsia="宋体" w:cs="宋体"/>
              </w:rPr>
            </w:pPr>
            <w:r>
              <w:rPr>
                <w:rFonts w:hint="eastAsia" w:ascii="宋体" w:hAnsi="宋体" w:eastAsia="宋体" w:cs="宋体"/>
              </w:rPr>
              <w:t>部门年度申报绩效目标项目资金额与部门项目预算资金总额的比率，用以反映部门落实财政部门绩效目标申报要求的资金覆盖情况。</w:t>
            </w:r>
          </w:p>
          <w:p w14:paraId="53D69E4E">
            <w:pPr>
              <w:spacing w:line="240" w:lineRule="exact"/>
              <w:ind w:firstLine="0" w:firstLineChars="0"/>
              <w:rPr>
                <w:rFonts w:ascii="宋体" w:hAnsi="宋体" w:eastAsia="宋体" w:cs="宋体"/>
              </w:rPr>
            </w:pPr>
            <w:r>
              <w:rPr>
                <w:rFonts w:hint="eastAsia" w:ascii="宋体" w:hAnsi="宋体" w:eastAsia="宋体" w:cs="宋体"/>
              </w:rPr>
              <w:t>覆盖率=实际申报绩效目标项目资金总额/部门项目预算资金总额×100%</w:t>
            </w:r>
          </w:p>
        </w:tc>
        <w:tc>
          <w:tcPr>
            <w:tcW w:w="3423" w:type="dxa"/>
            <w:tcBorders>
              <w:top w:val="single" w:color="000000" w:sz="4" w:space="0"/>
              <w:left w:val="single" w:color="auto" w:sz="4" w:space="0"/>
              <w:bottom w:val="single" w:color="auto" w:sz="4" w:space="0"/>
              <w:right w:val="single" w:color="auto" w:sz="4" w:space="0"/>
            </w:tcBorders>
            <w:vAlign w:val="center"/>
          </w:tcPr>
          <w:p w14:paraId="7F60781A">
            <w:pPr>
              <w:spacing w:line="240" w:lineRule="exact"/>
              <w:ind w:firstLine="0" w:firstLineChars="0"/>
              <w:rPr>
                <w:rFonts w:ascii="宋体" w:hAnsi="宋体" w:eastAsia="宋体" w:cs="宋体"/>
              </w:rPr>
            </w:pPr>
            <w:r>
              <w:rPr>
                <w:rFonts w:hint="eastAsia" w:ascii="宋体" w:hAnsi="宋体" w:eastAsia="宋体" w:cs="宋体"/>
              </w:rPr>
              <w:t>达到目标值得1分，未达到目标值采用完成比率法计分：得分=覆盖率/目标值×1，超过目标值不加分。</w:t>
            </w:r>
          </w:p>
        </w:tc>
        <w:tc>
          <w:tcPr>
            <w:tcW w:w="1090" w:type="dxa"/>
            <w:tcBorders>
              <w:top w:val="single" w:color="000000" w:sz="4" w:space="0"/>
              <w:left w:val="single" w:color="auto" w:sz="4" w:space="0"/>
              <w:bottom w:val="single" w:color="auto" w:sz="4" w:space="0"/>
              <w:right w:val="single" w:color="000000" w:sz="4" w:space="0"/>
            </w:tcBorders>
            <w:vAlign w:val="center"/>
          </w:tcPr>
          <w:p w14:paraId="44E806AD">
            <w:pPr>
              <w:spacing w:line="68" w:lineRule="atLeast"/>
              <w:ind w:firstLine="0" w:firstLineChars="0"/>
              <w:rPr>
                <w:rFonts w:ascii="宋体" w:hAnsi="宋体" w:eastAsia="宋体" w:cs="宋体"/>
              </w:rPr>
            </w:pPr>
            <w:r>
              <w:rPr>
                <w:rFonts w:hint="eastAsia" w:ascii="宋体" w:hAnsi="宋体" w:eastAsia="宋体" w:cs="宋体"/>
              </w:rPr>
              <w:t>0</w:t>
            </w:r>
            <w:r>
              <w:rPr>
                <w:rFonts w:ascii="宋体" w:hAnsi="宋体" w:eastAsia="宋体" w:cs="宋体"/>
              </w:rPr>
              <w:t>.68</w:t>
            </w:r>
          </w:p>
        </w:tc>
      </w:tr>
      <w:tr w14:paraId="62C3F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2" w:hRule="atLeast"/>
          <w:jc w:val="center"/>
        </w:trPr>
        <w:tc>
          <w:tcPr>
            <w:tcW w:w="733" w:type="dxa"/>
            <w:vMerge w:val="continue"/>
            <w:tcBorders>
              <w:left w:val="single" w:color="000000" w:sz="4" w:space="0"/>
              <w:right w:val="single" w:color="000000" w:sz="4" w:space="0"/>
            </w:tcBorders>
            <w:vAlign w:val="center"/>
          </w:tcPr>
          <w:p w14:paraId="3B7A855C">
            <w:pPr>
              <w:ind w:firstLine="0" w:firstLineChars="0"/>
              <w:rPr>
                <w:rFonts w:ascii="宋体" w:hAnsi="宋体" w:eastAsia="宋体" w:cs="宋体"/>
              </w:rPr>
            </w:pPr>
          </w:p>
        </w:tc>
        <w:tc>
          <w:tcPr>
            <w:tcW w:w="803" w:type="dxa"/>
            <w:vMerge w:val="continue"/>
            <w:tcBorders>
              <w:left w:val="single" w:color="000000" w:sz="4" w:space="0"/>
              <w:bottom w:val="single" w:color="000000" w:sz="4" w:space="0"/>
              <w:right w:val="single" w:color="000000" w:sz="4" w:space="0"/>
            </w:tcBorders>
            <w:vAlign w:val="center"/>
          </w:tcPr>
          <w:p w14:paraId="1AD331C1">
            <w:pPr>
              <w:ind w:firstLine="0" w:firstLineChars="0"/>
              <w:rPr>
                <w:rFonts w:ascii="宋体" w:hAnsi="宋体" w:eastAsia="宋体" w:cs="宋体"/>
              </w:rPr>
            </w:pPr>
          </w:p>
        </w:tc>
        <w:tc>
          <w:tcPr>
            <w:tcW w:w="1182" w:type="dxa"/>
            <w:tcBorders>
              <w:top w:val="single" w:color="000000" w:sz="4" w:space="0"/>
              <w:left w:val="single" w:color="000000" w:sz="4" w:space="0"/>
              <w:bottom w:val="single" w:color="auto" w:sz="4" w:space="0"/>
              <w:right w:val="single" w:color="auto" w:sz="4" w:space="0"/>
            </w:tcBorders>
            <w:vAlign w:val="center"/>
          </w:tcPr>
          <w:p w14:paraId="34B83033">
            <w:pPr>
              <w:spacing w:line="68" w:lineRule="atLeast"/>
              <w:ind w:firstLine="0" w:firstLineChars="0"/>
              <w:rPr>
                <w:rFonts w:ascii="宋体" w:hAnsi="宋体" w:eastAsia="宋体" w:cs="宋体"/>
              </w:rPr>
            </w:pPr>
            <w:r>
              <w:rPr>
                <w:rFonts w:hint="eastAsia" w:ascii="宋体" w:hAnsi="宋体" w:eastAsia="宋体" w:cs="宋体"/>
              </w:rPr>
              <w:t>目标管理创新（1分）</w:t>
            </w:r>
          </w:p>
        </w:tc>
        <w:tc>
          <w:tcPr>
            <w:tcW w:w="6911" w:type="dxa"/>
            <w:tcBorders>
              <w:top w:val="single" w:color="000000" w:sz="4" w:space="0"/>
              <w:left w:val="single" w:color="auto" w:sz="4" w:space="0"/>
              <w:bottom w:val="single" w:color="auto" w:sz="4" w:space="0"/>
              <w:right w:val="single" w:color="auto" w:sz="4" w:space="0"/>
            </w:tcBorders>
            <w:vAlign w:val="center"/>
          </w:tcPr>
          <w:p w14:paraId="58189CD0">
            <w:pPr>
              <w:spacing w:line="240" w:lineRule="exact"/>
              <w:ind w:firstLine="0" w:firstLineChars="0"/>
              <w:rPr>
                <w:rFonts w:ascii="宋体" w:hAnsi="宋体" w:eastAsia="宋体" w:cs="宋体"/>
              </w:rPr>
            </w:pPr>
            <w:r>
              <w:rPr>
                <w:rFonts w:hint="eastAsia" w:ascii="宋体" w:hAnsi="宋体" w:eastAsia="宋体" w:cs="宋体"/>
              </w:rPr>
              <w:t>部门编报整体绩效目标和申报项目绩效目标的数量超过规定的要求。用以反映和考核部门绩效目标管理创新工作情况。</w:t>
            </w:r>
          </w:p>
          <w:p w14:paraId="3CF8AD28">
            <w:pPr>
              <w:spacing w:line="240" w:lineRule="exact"/>
              <w:ind w:firstLine="0" w:firstLineChars="0"/>
              <w:rPr>
                <w:rFonts w:ascii="宋体" w:hAnsi="宋体" w:eastAsia="宋体" w:cs="宋体"/>
              </w:rPr>
            </w:pPr>
            <w:r>
              <w:rPr>
                <w:rFonts w:hint="eastAsia" w:ascii="宋体" w:hAnsi="宋体" w:eastAsia="宋体" w:cs="宋体"/>
              </w:rPr>
              <w:t>项目绩效目标创新=部门绩效目标编报数量-按财政部门要求的绩效目标填报数量</w:t>
            </w:r>
          </w:p>
        </w:tc>
        <w:tc>
          <w:tcPr>
            <w:tcW w:w="3423" w:type="dxa"/>
            <w:tcBorders>
              <w:top w:val="single" w:color="000000" w:sz="4" w:space="0"/>
              <w:left w:val="single" w:color="auto" w:sz="4" w:space="0"/>
              <w:bottom w:val="single" w:color="auto" w:sz="4" w:space="0"/>
              <w:right w:val="single" w:color="auto" w:sz="4" w:space="0"/>
            </w:tcBorders>
            <w:vAlign w:val="center"/>
          </w:tcPr>
          <w:p w14:paraId="69C04B95">
            <w:pPr>
              <w:spacing w:line="240" w:lineRule="exact"/>
              <w:ind w:firstLine="0" w:firstLineChars="0"/>
              <w:rPr>
                <w:rFonts w:ascii="宋体" w:hAnsi="宋体" w:eastAsia="宋体" w:cs="宋体"/>
              </w:rPr>
            </w:pPr>
            <w:r>
              <w:rPr>
                <w:rFonts w:hint="eastAsia" w:ascii="宋体" w:hAnsi="宋体" w:eastAsia="宋体" w:cs="宋体"/>
              </w:rPr>
              <w:t>每超过1项得0.1分，满分1分。</w:t>
            </w:r>
          </w:p>
        </w:tc>
        <w:tc>
          <w:tcPr>
            <w:tcW w:w="1090" w:type="dxa"/>
            <w:tcBorders>
              <w:top w:val="single" w:color="000000" w:sz="4" w:space="0"/>
              <w:left w:val="single" w:color="auto" w:sz="4" w:space="0"/>
              <w:bottom w:val="single" w:color="auto" w:sz="4" w:space="0"/>
              <w:right w:val="single" w:color="000000" w:sz="4" w:space="0"/>
            </w:tcBorders>
            <w:vAlign w:val="center"/>
          </w:tcPr>
          <w:p w14:paraId="24842034">
            <w:pPr>
              <w:spacing w:line="68" w:lineRule="atLeast"/>
              <w:ind w:firstLine="0" w:firstLineChars="0"/>
              <w:rPr>
                <w:rFonts w:ascii="宋体" w:hAnsi="宋体" w:eastAsia="宋体" w:cs="宋体"/>
              </w:rPr>
            </w:pPr>
            <w:r>
              <w:rPr>
                <w:rFonts w:hint="eastAsia" w:ascii="宋体" w:hAnsi="宋体" w:eastAsia="宋体" w:cs="宋体"/>
              </w:rPr>
              <w:t>0</w:t>
            </w:r>
          </w:p>
        </w:tc>
      </w:tr>
      <w:tr w14:paraId="0C2C5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5" w:hRule="atLeast"/>
          <w:jc w:val="center"/>
        </w:trPr>
        <w:tc>
          <w:tcPr>
            <w:tcW w:w="733" w:type="dxa"/>
            <w:vMerge w:val="continue"/>
            <w:tcBorders>
              <w:left w:val="single" w:color="000000" w:sz="4" w:space="0"/>
              <w:right w:val="single" w:color="000000" w:sz="4" w:space="0"/>
            </w:tcBorders>
            <w:vAlign w:val="center"/>
          </w:tcPr>
          <w:p w14:paraId="3B2CCF17">
            <w:pPr>
              <w:ind w:firstLine="0" w:firstLineChars="0"/>
              <w:rPr>
                <w:rFonts w:ascii="宋体" w:hAnsi="宋体" w:eastAsia="宋体" w:cs="宋体"/>
              </w:rPr>
            </w:pPr>
          </w:p>
        </w:tc>
        <w:tc>
          <w:tcPr>
            <w:tcW w:w="803" w:type="dxa"/>
            <w:vMerge w:val="restart"/>
            <w:tcBorders>
              <w:top w:val="single" w:color="000000" w:sz="4" w:space="0"/>
              <w:left w:val="single" w:color="000000" w:sz="4" w:space="0"/>
              <w:right w:val="single" w:color="000000" w:sz="4" w:space="0"/>
            </w:tcBorders>
            <w:vAlign w:val="center"/>
          </w:tcPr>
          <w:p w14:paraId="41DB3A1F">
            <w:pPr>
              <w:spacing w:line="68" w:lineRule="atLeast"/>
              <w:ind w:firstLine="0" w:firstLineChars="0"/>
              <w:rPr>
                <w:rFonts w:ascii="宋体" w:hAnsi="宋体" w:eastAsia="宋体" w:cs="宋体"/>
              </w:rPr>
            </w:pPr>
            <w:r>
              <w:rPr>
                <w:rFonts w:hint="eastAsia" w:ascii="宋体" w:hAnsi="宋体" w:eastAsia="宋体" w:cs="宋体"/>
              </w:rPr>
              <w:t>预算配置(10分)</w:t>
            </w:r>
          </w:p>
        </w:tc>
        <w:tc>
          <w:tcPr>
            <w:tcW w:w="1182" w:type="dxa"/>
            <w:tcBorders>
              <w:top w:val="single" w:color="auto" w:sz="4" w:space="0"/>
              <w:left w:val="single" w:color="000000" w:sz="4" w:space="0"/>
              <w:bottom w:val="single" w:color="000000" w:sz="4" w:space="0"/>
              <w:right w:val="single" w:color="auto" w:sz="4" w:space="0"/>
            </w:tcBorders>
            <w:vAlign w:val="center"/>
          </w:tcPr>
          <w:p w14:paraId="1CF7EA7B">
            <w:pPr>
              <w:spacing w:line="68" w:lineRule="atLeast"/>
              <w:ind w:firstLine="0" w:firstLineChars="0"/>
              <w:rPr>
                <w:rFonts w:ascii="宋体" w:hAnsi="宋体" w:eastAsia="宋体" w:cs="宋体"/>
              </w:rPr>
            </w:pPr>
            <w:r>
              <w:rPr>
                <w:rFonts w:hint="eastAsia" w:ascii="宋体" w:hAnsi="宋体" w:eastAsia="宋体" w:cs="宋体"/>
              </w:rPr>
              <w:t>财政供养人员控制率（3分）</w:t>
            </w:r>
          </w:p>
        </w:tc>
        <w:tc>
          <w:tcPr>
            <w:tcW w:w="6911" w:type="dxa"/>
            <w:tcBorders>
              <w:top w:val="single" w:color="auto" w:sz="4" w:space="0"/>
              <w:left w:val="single" w:color="auto" w:sz="4" w:space="0"/>
              <w:bottom w:val="single" w:color="000000" w:sz="4" w:space="0"/>
              <w:right w:val="single" w:color="auto" w:sz="4" w:space="0"/>
            </w:tcBorders>
            <w:vAlign w:val="center"/>
          </w:tcPr>
          <w:p w14:paraId="2BB6C456">
            <w:pPr>
              <w:spacing w:line="240" w:lineRule="exact"/>
              <w:ind w:firstLine="0" w:firstLineChars="0"/>
              <w:rPr>
                <w:rFonts w:ascii="宋体" w:hAnsi="宋体" w:eastAsia="宋体" w:cs="宋体"/>
              </w:rPr>
            </w:pPr>
            <w:r>
              <w:rPr>
                <w:rFonts w:hint="eastAsia" w:ascii="宋体" w:hAnsi="宋体" w:eastAsia="宋体" w:cs="宋体"/>
              </w:rPr>
              <w:t>部门本年度实际在职人员数与编制数的比率，用以反映和评价部门对人员成本的控制程度。</w:t>
            </w:r>
          </w:p>
          <w:p w14:paraId="429994AB">
            <w:pPr>
              <w:spacing w:line="240" w:lineRule="exact"/>
              <w:ind w:firstLine="0" w:firstLineChars="0"/>
              <w:rPr>
                <w:rFonts w:ascii="宋体" w:hAnsi="宋体" w:eastAsia="宋体" w:cs="宋体"/>
              </w:rPr>
            </w:pPr>
            <w:r>
              <w:rPr>
                <w:rFonts w:hint="eastAsia" w:ascii="宋体" w:hAnsi="宋体" w:eastAsia="宋体" w:cs="宋体"/>
              </w:rPr>
              <w:t>在职人员控制率=（在职人员数/编制数）×100%。</w:t>
            </w:r>
          </w:p>
          <w:p w14:paraId="6DBDDFCE">
            <w:pPr>
              <w:spacing w:line="240" w:lineRule="exact"/>
              <w:ind w:firstLine="0" w:firstLineChars="0"/>
              <w:rPr>
                <w:rFonts w:ascii="宋体" w:hAnsi="宋体" w:eastAsia="宋体" w:cs="宋体"/>
              </w:rPr>
            </w:pPr>
            <w:r>
              <w:rPr>
                <w:rFonts w:hint="eastAsia" w:ascii="宋体" w:hAnsi="宋体" w:eastAsia="宋体" w:cs="宋体"/>
              </w:rPr>
              <w:t>在职人员数：部门实际在职人数，以财政部确定的部门决算编制口径为准，由编制部门和人劳部门批复同意的临聘人员除外。</w:t>
            </w:r>
          </w:p>
          <w:p w14:paraId="639F0F36">
            <w:pPr>
              <w:spacing w:line="68" w:lineRule="atLeast"/>
              <w:ind w:firstLine="0" w:firstLineChars="0"/>
              <w:rPr>
                <w:rFonts w:ascii="宋体" w:hAnsi="宋体" w:eastAsia="宋体" w:cs="宋体"/>
              </w:rPr>
            </w:pPr>
            <w:r>
              <w:rPr>
                <w:rFonts w:hint="eastAsia" w:ascii="宋体" w:hAnsi="宋体" w:eastAsia="宋体" w:cs="宋体"/>
              </w:rPr>
              <w:t>编制数：机构编制部门核定批复的部门人员编制数。</w:t>
            </w:r>
          </w:p>
        </w:tc>
        <w:tc>
          <w:tcPr>
            <w:tcW w:w="3423" w:type="dxa"/>
            <w:tcBorders>
              <w:top w:val="single" w:color="auto" w:sz="4" w:space="0"/>
              <w:left w:val="single" w:color="auto" w:sz="4" w:space="0"/>
              <w:bottom w:val="single" w:color="000000" w:sz="4" w:space="0"/>
              <w:right w:val="single" w:color="auto" w:sz="4" w:space="0"/>
            </w:tcBorders>
            <w:vAlign w:val="center"/>
          </w:tcPr>
          <w:p w14:paraId="39A06FBB">
            <w:pPr>
              <w:spacing w:line="68" w:lineRule="atLeast"/>
              <w:ind w:firstLine="0" w:firstLineChars="0"/>
              <w:rPr>
                <w:rFonts w:ascii="宋体" w:hAnsi="宋体" w:eastAsia="宋体" w:cs="宋体"/>
              </w:rPr>
            </w:pPr>
            <w:r>
              <w:rPr>
                <w:rFonts w:hint="eastAsia" w:ascii="宋体" w:hAnsi="宋体" w:eastAsia="宋体" w:cs="宋体"/>
              </w:rPr>
              <w:t>目标值≤100%；达到目标值得3分，每超出1人扣0.1分，扣完为止。</w:t>
            </w:r>
          </w:p>
        </w:tc>
        <w:tc>
          <w:tcPr>
            <w:tcW w:w="1090" w:type="dxa"/>
            <w:tcBorders>
              <w:top w:val="single" w:color="auto" w:sz="4" w:space="0"/>
              <w:left w:val="single" w:color="auto" w:sz="4" w:space="0"/>
              <w:bottom w:val="single" w:color="000000" w:sz="4" w:space="0"/>
              <w:right w:val="single" w:color="000000" w:sz="4" w:space="0"/>
            </w:tcBorders>
            <w:vAlign w:val="center"/>
          </w:tcPr>
          <w:p w14:paraId="468C5E17">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3</w:t>
            </w:r>
          </w:p>
        </w:tc>
      </w:tr>
      <w:tr w14:paraId="26D4D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5" w:hRule="atLeast"/>
          <w:jc w:val="center"/>
        </w:trPr>
        <w:tc>
          <w:tcPr>
            <w:tcW w:w="733" w:type="dxa"/>
            <w:vMerge w:val="continue"/>
            <w:tcBorders>
              <w:left w:val="single" w:color="000000" w:sz="4" w:space="0"/>
              <w:right w:val="single" w:color="000000" w:sz="4" w:space="0"/>
            </w:tcBorders>
            <w:vAlign w:val="center"/>
          </w:tcPr>
          <w:p w14:paraId="34E273BE">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5A80193C">
            <w:pPr>
              <w:ind w:firstLine="0" w:firstLineChars="0"/>
              <w:rPr>
                <w:rFonts w:ascii="宋体" w:hAnsi="宋体" w:eastAsia="宋体" w:cs="宋体"/>
              </w:rPr>
            </w:pPr>
          </w:p>
        </w:tc>
        <w:tc>
          <w:tcPr>
            <w:tcW w:w="1182" w:type="dxa"/>
            <w:tcBorders>
              <w:top w:val="single" w:color="auto" w:sz="4" w:space="0"/>
              <w:left w:val="single" w:color="000000" w:sz="4" w:space="0"/>
              <w:bottom w:val="single" w:color="000000" w:sz="4" w:space="0"/>
              <w:right w:val="single" w:color="auto" w:sz="4" w:space="0"/>
            </w:tcBorders>
            <w:vAlign w:val="center"/>
          </w:tcPr>
          <w:p w14:paraId="1B930297">
            <w:pPr>
              <w:spacing w:line="68" w:lineRule="atLeast"/>
              <w:ind w:firstLine="0" w:firstLineChars="0"/>
              <w:rPr>
                <w:rFonts w:ascii="宋体" w:hAnsi="宋体" w:eastAsia="宋体" w:cs="宋体"/>
              </w:rPr>
            </w:pPr>
            <w:r>
              <w:rPr>
                <w:rFonts w:hint="eastAsia" w:ascii="宋体" w:hAnsi="宋体" w:eastAsia="宋体" w:cs="宋体"/>
              </w:rPr>
              <w:t>“三公经费”变动率（4分）</w:t>
            </w:r>
          </w:p>
        </w:tc>
        <w:tc>
          <w:tcPr>
            <w:tcW w:w="6911" w:type="dxa"/>
            <w:tcBorders>
              <w:top w:val="single" w:color="auto" w:sz="4" w:space="0"/>
              <w:left w:val="single" w:color="auto" w:sz="4" w:space="0"/>
              <w:bottom w:val="single" w:color="000000" w:sz="4" w:space="0"/>
              <w:right w:val="single" w:color="auto" w:sz="4" w:space="0"/>
            </w:tcBorders>
            <w:vAlign w:val="center"/>
          </w:tcPr>
          <w:p w14:paraId="7AB2DAA9">
            <w:pPr>
              <w:spacing w:line="240" w:lineRule="exact"/>
              <w:ind w:firstLine="0" w:firstLineChars="0"/>
              <w:rPr>
                <w:rFonts w:ascii="宋体" w:hAnsi="宋体" w:eastAsia="宋体" w:cs="宋体"/>
              </w:rPr>
            </w:pPr>
            <w:r>
              <w:rPr>
                <w:rFonts w:hint="eastAsia" w:ascii="宋体" w:hAnsi="宋体" w:eastAsia="宋体" w:cs="宋体"/>
              </w:rPr>
              <w:t>部门本年度“三公经费”预算数与上年度“三公经费”预算数的变动比率，用以反映和考核部门对控制重点行政成本的努力程度。</w:t>
            </w:r>
          </w:p>
          <w:p w14:paraId="0B31E55C">
            <w:pPr>
              <w:spacing w:line="240" w:lineRule="exact"/>
              <w:ind w:firstLine="0" w:firstLineChars="0"/>
              <w:rPr>
                <w:rFonts w:ascii="宋体" w:hAnsi="宋体" w:eastAsia="宋体" w:cs="宋体"/>
              </w:rPr>
            </w:pPr>
            <w:r>
              <w:rPr>
                <w:rFonts w:hint="eastAsia" w:ascii="宋体" w:hAnsi="宋体" w:eastAsia="宋体" w:cs="宋体"/>
              </w:rPr>
              <w:t>“三公经费”变动率=〔（本年度“三公经费”总额-上年度“三公经费”总额）/上年度“三公经费”总额〕×100%</w:t>
            </w:r>
          </w:p>
          <w:p w14:paraId="78F62BD0">
            <w:pPr>
              <w:spacing w:line="240" w:lineRule="exact"/>
              <w:ind w:firstLine="0" w:firstLineChars="0"/>
              <w:rPr>
                <w:rFonts w:ascii="宋体" w:hAnsi="宋体" w:eastAsia="宋体" w:cs="宋体"/>
              </w:rPr>
            </w:pPr>
            <w:r>
              <w:rPr>
                <w:rFonts w:hint="eastAsia" w:ascii="宋体" w:hAnsi="宋体" w:eastAsia="宋体" w:cs="宋体"/>
              </w:rPr>
              <w:t>“三公经费”：年度预算安排的因公出国（境）费、公务车辆购置及运行费和公务招待费。</w:t>
            </w:r>
          </w:p>
        </w:tc>
        <w:tc>
          <w:tcPr>
            <w:tcW w:w="3423" w:type="dxa"/>
            <w:tcBorders>
              <w:top w:val="single" w:color="auto" w:sz="4" w:space="0"/>
              <w:left w:val="single" w:color="auto" w:sz="4" w:space="0"/>
              <w:bottom w:val="single" w:color="000000" w:sz="4" w:space="0"/>
              <w:right w:val="single" w:color="auto" w:sz="4" w:space="0"/>
            </w:tcBorders>
            <w:vAlign w:val="center"/>
          </w:tcPr>
          <w:p w14:paraId="0EB983E6">
            <w:pPr>
              <w:spacing w:line="240" w:lineRule="exact"/>
              <w:ind w:firstLine="0" w:firstLineChars="0"/>
              <w:rPr>
                <w:rFonts w:ascii="宋体" w:hAnsi="宋体" w:eastAsia="宋体" w:cs="宋体"/>
              </w:rPr>
            </w:pPr>
            <w:r>
              <w:rPr>
                <w:rFonts w:hint="eastAsia" w:ascii="宋体" w:hAnsi="宋体" w:eastAsia="宋体" w:cs="宋体"/>
              </w:rPr>
              <w:t>目标值≤0；达到目标值得4分，未达到目标值的采用比率扣分法：扣分值=“三公经费”变动率×4×10，变动率达10%以上的扣4分。</w:t>
            </w:r>
          </w:p>
        </w:tc>
        <w:tc>
          <w:tcPr>
            <w:tcW w:w="1090" w:type="dxa"/>
            <w:tcBorders>
              <w:top w:val="single" w:color="auto" w:sz="4" w:space="0"/>
              <w:left w:val="single" w:color="auto" w:sz="4" w:space="0"/>
              <w:bottom w:val="single" w:color="000000" w:sz="4" w:space="0"/>
              <w:right w:val="single" w:color="000000" w:sz="4" w:space="0"/>
            </w:tcBorders>
            <w:vAlign w:val="center"/>
          </w:tcPr>
          <w:p w14:paraId="6788C76D">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4</w:t>
            </w:r>
          </w:p>
        </w:tc>
      </w:tr>
      <w:tr w14:paraId="6B47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7" w:hRule="atLeast"/>
          <w:jc w:val="center"/>
        </w:trPr>
        <w:tc>
          <w:tcPr>
            <w:tcW w:w="733" w:type="dxa"/>
            <w:vMerge w:val="continue"/>
            <w:tcBorders>
              <w:left w:val="single" w:color="000000" w:sz="4" w:space="0"/>
              <w:bottom w:val="single" w:color="000000" w:sz="4" w:space="0"/>
              <w:right w:val="single" w:color="000000" w:sz="4" w:space="0"/>
            </w:tcBorders>
            <w:vAlign w:val="center"/>
          </w:tcPr>
          <w:p w14:paraId="4B7F5973">
            <w:pPr>
              <w:ind w:firstLine="0" w:firstLineChars="0"/>
              <w:rPr>
                <w:rFonts w:ascii="宋体" w:hAnsi="宋体" w:eastAsia="宋体" w:cs="宋体"/>
              </w:rPr>
            </w:pPr>
          </w:p>
        </w:tc>
        <w:tc>
          <w:tcPr>
            <w:tcW w:w="803" w:type="dxa"/>
            <w:vMerge w:val="continue"/>
            <w:tcBorders>
              <w:left w:val="single" w:color="000000" w:sz="4" w:space="0"/>
              <w:bottom w:val="single" w:color="000000" w:sz="4" w:space="0"/>
              <w:right w:val="single" w:color="000000" w:sz="4" w:space="0"/>
            </w:tcBorders>
            <w:vAlign w:val="center"/>
          </w:tcPr>
          <w:p w14:paraId="26529C5C">
            <w:pPr>
              <w:ind w:firstLine="0" w:firstLineChars="0"/>
              <w:rPr>
                <w:rFonts w:ascii="宋体" w:hAnsi="宋体" w:eastAsia="宋体" w:cs="宋体"/>
              </w:rPr>
            </w:pPr>
          </w:p>
        </w:tc>
        <w:tc>
          <w:tcPr>
            <w:tcW w:w="1182" w:type="dxa"/>
            <w:tcBorders>
              <w:top w:val="single" w:color="auto" w:sz="4" w:space="0"/>
              <w:left w:val="single" w:color="000000" w:sz="4" w:space="0"/>
              <w:bottom w:val="single" w:color="000000" w:sz="4" w:space="0"/>
              <w:right w:val="single" w:color="auto" w:sz="4" w:space="0"/>
            </w:tcBorders>
            <w:vAlign w:val="center"/>
          </w:tcPr>
          <w:p w14:paraId="0D5A63BD">
            <w:pPr>
              <w:spacing w:line="68" w:lineRule="atLeast"/>
              <w:ind w:firstLine="0" w:firstLineChars="0"/>
              <w:rPr>
                <w:rFonts w:ascii="宋体" w:hAnsi="宋体" w:eastAsia="宋体" w:cs="宋体"/>
              </w:rPr>
            </w:pPr>
            <w:r>
              <w:rPr>
                <w:rFonts w:hint="eastAsia" w:ascii="宋体" w:hAnsi="宋体" w:eastAsia="宋体" w:cs="宋体"/>
              </w:rPr>
              <w:t>重点支出安排率（3分）</w:t>
            </w:r>
          </w:p>
        </w:tc>
        <w:tc>
          <w:tcPr>
            <w:tcW w:w="6911" w:type="dxa"/>
            <w:tcBorders>
              <w:top w:val="single" w:color="auto" w:sz="4" w:space="0"/>
              <w:left w:val="single" w:color="auto" w:sz="4" w:space="0"/>
              <w:bottom w:val="single" w:color="000000" w:sz="4" w:space="0"/>
              <w:right w:val="single" w:color="auto" w:sz="4" w:space="0"/>
            </w:tcBorders>
            <w:vAlign w:val="center"/>
          </w:tcPr>
          <w:p w14:paraId="362B68ED">
            <w:pPr>
              <w:spacing w:line="240" w:lineRule="exact"/>
              <w:ind w:firstLine="0" w:firstLineChars="0"/>
              <w:rPr>
                <w:rFonts w:ascii="宋体" w:hAnsi="宋体" w:eastAsia="宋体" w:cs="宋体"/>
              </w:rPr>
            </w:pPr>
            <w:r>
              <w:rPr>
                <w:rFonts w:hint="eastAsia" w:ascii="宋体" w:hAnsi="宋体" w:eastAsia="宋体" w:cs="宋体"/>
              </w:rPr>
              <w:t>部门（单位）本年度预算安排的重点项目支出与部门项目总支出的比率，用以反映和考核部门（单位）对履行主要职责或完成重点任务的保障程度。重点支出安排率=（重点项目支出/项目总支出）×100%。</w:t>
            </w:r>
          </w:p>
          <w:p w14:paraId="2E2202D5">
            <w:pPr>
              <w:spacing w:line="240" w:lineRule="exact"/>
              <w:ind w:firstLine="0" w:firstLineChars="0"/>
              <w:rPr>
                <w:rFonts w:ascii="宋体" w:hAnsi="宋体" w:eastAsia="宋体" w:cs="宋体"/>
              </w:rPr>
            </w:pPr>
            <w:r>
              <w:rPr>
                <w:rFonts w:hint="eastAsia" w:ascii="宋体" w:hAnsi="宋体" w:eastAsia="宋体" w:cs="宋体"/>
              </w:rPr>
              <w:t>重点项目支出：部门（单位）年度预算安排的，与本部门履职和发展密切相关、具有明显社会和经济影响、党委政府关心或社会比较关注的项目支出总额。具体由被评价部门提出后经对口部门预算管理处审核确定。</w:t>
            </w:r>
          </w:p>
          <w:p w14:paraId="352265E8">
            <w:pPr>
              <w:spacing w:line="240" w:lineRule="exact"/>
              <w:ind w:firstLine="0" w:firstLineChars="0"/>
              <w:rPr>
                <w:rFonts w:ascii="宋体" w:hAnsi="宋体" w:eastAsia="宋体" w:cs="宋体"/>
              </w:rPr>
            </w:pPr>
            <w:r>
              <w:rPr>
                <w:rFonts w:hint="eastAsia" w:ascii="宋体" w:hAnsi="宋体" w:eastAsia="宋体" w:cs="宋体"/>
              </w:rPr>
              <w:t>项目总支出：部门（单位）年度预算安排的项目支出总额。</w:t>
            </w:r>
          </w:p>
        </w:tc>
        <w:tc>
          <w:tcPr>
            <w:tcW w:w="3423" w:type="dxa"/>
            <w:tcBorders>
              <w:top w:val="single" w:color="auto" w:sz="4" w:space="0"/>
              <w:left w:val="single" w:color="auto" w:sz="4" w:space="0"/>
              <w:bottom w:val="single" w:color="000000" w:sz="4" w:space="0"/>
              <w:right w:val="single" w:color="auto" w:sz="4" w:space="0"/>
            </w:tcBorders>
            <w:vAlign w:val="center"/>
          </w:tcPr>
          <w:p w14:paraId="7FF41314">
            <w:pPr>
              <w:spacing w:line="240" w:lineRule="exact"/>
              <w:ind w:firstLine="0" w:firstLineChars="0"/>
              <w:rPr>
                <w:rFonts w:ascii="宋体" w:hAnsi="宋体" w:eastAsia="宋体" w:cs="宋体"/>
              </w:rPr>
            </w:pPr>
            <w:r>
              <w:rPr>
                <w:rFonts w:hint="eastAsia" w:ascii="宋体" w:hAnsi="宋体" w:eastAsia="宋体" w:cs="宋体"/>
              </w:rPr>
              <w:t>目标值≥70%；以3分为上限，采用完成比率法计分：得分=重点支出安排率/70%×100%×3，超出目标值不加分。</w:t>
            </w:r>
          </w:p>
        </w:tc>
        <w:tc>
          <w:tcPr>
            <w:tcW w:w="1090" w:type="dxa"/>
            <w:tcBorders>
              <w:top w:val="single" w:color="auto" w:sz="4" w:space="0"/>
              <w:left w:val="single" w:color="auto" w:sz="4" w:space="0"/>
              <w:bottom w:val="single" w:color="000000" w:sz="4" w:space="0"/>
              <w:right w:val="single" w:color="000000" w:sz="4" w:space="0"/>
            </w:tcBorders>
            <w:vAlign w:val="center"/>
          </w:tcPr>
          <w:p w14:paraId="374DCA4E">
            <w:pPr>
              <w:spacing w:line="68" w:lineRule="atLeast"/>
              <w:ind w:firstLine="0" w:firstLineChars="0"/>
              <w:rPr>
                <w:rFonts w:ascii="宋体" w:hAnsi="宋体" w:eastAsia="宋体" w:cs="宋体"/>
              </w:rPr>
            </w:pPr>
            <w:r>
              <w:rPr>
                <w:rFonts w:hint="eastAsia" w:ascii="宋体" w:hAnsi="宋体" w:eastAsia="宋体" w:cs="宋体"/>
              </w:rPr>
              <w:t>3</w:t>
            </w:r>
          </w:p>
        </w:tc>
      </w:tr>
      <w:tr w14:paraId="01867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6" w:hRule="atLeast"/>
          <w:jc w:val="center"/>
        </w:trPr>
        <w:tc>
          <w:tcPr>
            <w:tcW w:w="733" w:type="dxa"/>
            <w:vMerge w:val="restart"/>
            <w:tcBorders>
              <w:top w:val="single" w:color="000000" w:sz="4" w:space="0"/>
              <w:left w:val="single" w:color="000000" w:sz="4" w:space="0"/>
              <w:right w:val="single" w:color="000000" w:sz="4" w:space="0"/>
            </w:tcBorders>
            <w:vAlign w:val="center"/>
          </w:tcPr>
          <w:p w14:paraId="59E6DD3E">
            <w:pPr>
              <w:spacing w:line="68" w:lineRule="atLeast"/>
              <w:ind w:firstLine="0" w:firstLineChars="0"/>
              <w:jc w:val="center"/>
              <w:rPr>
                <w:rFonts w:ascii="宋体" w:hAnsi="宋体" w:eastAsia="宋体" w:cs="宋体"/>
              </w:rPr>
            </w:pPr>
          </w:p>
          <w:p w14:paraId="0C92CC87">
            <w:pPr>
              <w:spacing w:line="68" w:lineRule="atLeast"/>
              <w:ind w:firstLine="0" w:firstLineChars="0"/>
              <w:jc w:val="center"/>
              <w:rPr>
                <w:rFonts w:ascii="宋体" w:hAnsi="宋体" w:eastAsia="宋体" w:cs="宋体"/>
              </w:rPr>
            </w:pPr>
          </w:p>
          <w:p w14:paraId="055D780C">
            <w:pPr>
              <w:spacing w:line="68" w:lineRule="atLeast"/>
              <w:ind w:firstLine="0" w:firstLineChars="0"/>
              <w:jc w:val="center"/>
              <w:rPr>
                <w:rFonts w:ascii="宋体" w:hAnsi="宋体" w:eastAsia="宋体" w:cs="宋体"/>
              </w:rPr>
            </w:pPr>
          </w:p>
          <w:p w14:paraId="639C4720">
            <w:pPr>
              <w:spacing w:line="68" w:lineRule="atLeast"/>
              <w:ind w:firstLine="0" w:firstLineChars="0"/>
              <w:jc w:val="center"/>
              <w:rPr>
                <w:rFonts w:ascii="宋体" w:hAnsi="宋体" w:eastAsia="宋体" w:cs="宋体"/>
              </w:rPr>
            </w:pPr>
          </w:p>
          <w:p w14:paraId="676FB638">
            <w:pPr>
              <w:spacing w:line="68" w:lineRule="atLeast"/>
              <w:ind w:firstLine="0" w:firstLineChars="0"/>
              <w:jc w:val="center"/>
              <w:rPr>
                <w:rFonts w:ascii="宋体" w:hAnsi="宋体" w:eastAsia="宋体" w:cs="宋体"/>
              </w:rPr>
            </w:pPr>
          </w:p>
          <w:p w14:paraId="2D1B734B">
            <w:pPr>
              <w:spacing w:line="68" w:lineRule="atLeast"/>
              <w:ind w:firstLine="0" w:firstLineChars="0"/>
              <w:jc w:val="center"/>
              <w:rPr>
                <w:rFonts w:ascii="宋体" w:hAnsi="宋体" w:eastAsia="宋体" w:cs="宋体"/>
              </w:rPr>
            </w:pPr>
          </w:p>
          <w:p w14:paraId="6C30607E">
            <w:pPr>
              <w:spacing w:line="68" w:lineRule="atLeast"/>
              <w:ind w:firstLine="0" w:firstLineChars="0"/>
              <w:jc w:val="center"/>
              <w:rPr>
                <w:rFonts w:ascii="宋体" w:hAnsi="宋体" w:eastAsia="宋体" w:cs="宋体"/>
              </w:rPr>
            </w:pPr>
          </w:p>
          <w:p w14:paraId="5EB006D5">
            <w:pPr>
              <w:spacing w:line="68" w:lineRule="atLeast"/>
              <w:ind w:firstLine="0" w:firstLineChars="0"/>
              <w:jc w:val="center"/>
              <w:rPr>
                <w:rFonts w:ascii="宋体" w:hAnsi="宋体" w:eastAsia="宋体" w:cs="宋体"/>
              </w:rPr>
            </w:pPr>
          </w:p>
          <w:p w14:paraId="3C3DDB03">
            <w:pPr>
              <w:spacing w:line="68" w:lineRule="atLeast"/>
              <w:ind w:firstLine="0" w:firstLineChars="0"/>
              <w:jc w:val="center"/>
              <w:rPr>
                <w:rFonts w:ascii="宋体" w:hAnsi="宋体" w:eastAsia="宋体" w:cs="宋体"/>
              </w:rPr>
            </w:pPr>
          </w:p>
          <w:p w14:paraId="7764C21C">
            <w:pPr>
              <w:spacing w:line="68" w:lineRule="atLeast"/>
              <w:ind w:firstLine="0" w:firstLineChars="0"/>
              <w:jc w:val="center"/>
              <w:rPr>
                <w:rFonts w:ascii="宋体" w:hAnsi="宋体" w:eastAsia="宋体" w:cs="宋体"/>
              </w:rPr>
            </w:pPr>
          </w:p>
          <w:p w14:paraId="079083A4">
            <w:pPr>
              <w:spacing w:line="68" w:lineRule="atLeast"/>
              <w:ind w:firstLine="0" w:firstLineChars="0"/>
              <w:rPr>
                <w:rFonts w:ascii="宋体" w:hAnsi="宋体" w:eastAsia="宋体" w:cs="宋体"/>
              </w:rPr>
            </w:pPr>
            <w:r>
              <w:rPr>
                <w:rFonts w:hint="eastAsia" w:ascii="宋体" w:hAnsi="宋体" w:eastAsia="宋体" w:cs="宋体"/>
              </w:rPr>
              <w:t>过程(55分)</w:t>
            </w:r>
          </w:p>
          <w:p w14:paraId="555F08E8">
            <w:pPr>
              <w:spacing w:line="68" w:lineRule="atLeast"/>
              <w:ind w:firstLine="0" w:firstLineChars="0"/>
              <w:jc w:val="center"/>
              <w:rPr>
                <w:rFonts w:ascii="宋体" w:hAnsi="宋体" w:eastAsia="宋体" w:cs="宋体"/>
              </w:rPr>
            </w:pPr>
          </w:p>
          <w:p w14:paraId="0F267917">
            <w:pPr>
              <w:spacing w:line="68" w:lineRule="atLeast"/>
              <w:ind w:firstLine="0" w:firstLineChars="0"/>
              <w:jc w:val="center"/>
              <w:rPr>
                <w:rFonts w:ascii="宋体" w:hAnsi="宋体" w:eastAsia="宋体" w:cs="宋体"/>
              </w:rPr>
            </w:pPr>
          </w:p>
          <w:p w14:paraId="4E5B2CDA">
            <w:pPr>
              <w:spacing w:line="68" w:lineRule="atLeast"/>
              <w:ind w:firstLine="0" w:firstLineChars="0"/>
              <w:jc w:val="center"/>
              <w:rPr>
                <w:rFonts w:ascii="宋体" w:hAnsi="宋体" w:eastAsia="宋体" w:cs="宋体"/>
              </w:rPr>
            </w:pPr>
          </w:p>
          <w:p w14:paraId="17BDC795">
            <w:pPr>
              <w:spacing w:line="68" w:lineRule="atLeast"/>
              <w:ind w:firstLine="0" w:firstLineChars="0"/>
              <w:jc w:val="center"/>
              <w:rPr>
                <w:rFonts w:ascii="宋体" w:hAnsi="宋体" w:eastAsia="宋体" w:cs="宋体"/>
              </w:rPr>
            </w:pPr>
          </w:p>
          <w:p w14:paraId="757A50FE">
            <w:pPr>
              <w:spacing w:line="68" w:lineRule="atLeast"/>
              <w:ind w:firstLine="0" w:firstLineChars="0"/>
              <w:jc w:val="center"/>
              <w:rPr>
                <w:rFonts w:ascii="宋体" w:hAnsi="宋体" w:eastAsia="宋体" w:cs="宋体"/>
              </w:rPr>
            </w:pPr>
          </w:p>
          <w:p w14:paraId="3BC85AC8">
            <w:pPr>
              <w:spacing w:line="68" w:lineRule="atLeast"/>
              <w:ind w:firstLine="0" w:firstLineChars="0"/>
              <w:jc w:val="center"/>
              <w:rPr>
                <w:rFonts w:ascii="宋体" w:hAnsi="宋体" w:eastAsia="宋体" w:cs="宋体"/>
              </w:rPr>
            </w:pPr>
          </w:p>
          <w:p w14:paraId="7BD6527B">
            <w:pPr>
              <w:spacing w:line="68" w:lineRule="atLeast"/>
              <w:ind w:firstLine="0" w:firstLineChars="0"/>
              <w:jc w:val="center"/>
              <w:rPr>
                <w:rFonts w:ascii="宋体" w:hAnsi="宋体" w:eastAsia="宋体" w:cs="宋体"/>
              </w:rPr>
            </w:pPr>
          </w:p>
          <w:p w14:paraId="53D6AAF5">
            <w:pPr>
              <w:spacing w:line="68" w:lineRule="atLeast"/>
              <w:ind w:firstLine="0" w:firstLineChars="0"/>
              <w:jc w:val="center"/>
              <w:rPr>
                <w:rFonts w:ascii="宋体" w:hAnsi="宋体" w:eastAsia="宋体" w:cs="宋体"/>
              </w:rPr>
            </w:pPr>
          </w:p>
          <w:p w14:paraId="0060C355">
            <w:pPr>
              <w:spacing w:line="68" w:lineRule="atLeast"/>
              <w:ind w:firstLine="0" w:firstLineChars="0"/>
              <w:jc w:val="center"/>
              <w:rPr>
                <w:rFonts w:ascii="宋体" w:hAnsi="宋体" w:eastAsia="宋体" w:cs="宋体"/>
              </w:rPr>
            </w:pPr>
          </w:p>
          <w:p w14:paraId="6523247D">
            <w:pPr>
              <w:spacing w:line="68" w:lineRule="atLeast"/>
              <w:ind w:firstLine="0" w:firstLineChars="0"/>
              <w:jc w:val="center"/>
              <w:rPr>
                <w:rFonts w:ascii="宋体" w:hAnsi="宋体" w:eastAsia="宋体" w:cs="宋体"/>
              </w:rPr>
            </w:pPr>
          </w:p>
          <w:p w14:paraId="6DE1CB9C">
            <w:pPr>
              <w:spacing w:line="68" w:lineRule="atLeast"/>
              <w:ind w:firstLine="0" w:firstLineChars="0"/>
              <w:jc w:val="center"/>
              <w:rPr>
                <w:rFonts w:ascii="宋体" w:hAnsi="宋体" w:eastAsia="宋体" w:cs="宋体"/>
              </w:rPr>
            </w:pPr>
          </w:p>
          <w:p w14:paraId="1FE75B02">
            <w:pPr>
              <w:spacing w:line="68" w:lineRule="atLeast"/>
              <w:ind w:firstLine="0" w:firstLineChars="0"/>
              <w:jc w:val="center"/>
              <w:rPr>
                <w:rFonts w:ascii="宋体" w:hAnsi="宋体" w:eastAsia="宋体" w:cs="宋体"/>
              </w:rPr>
            </w:pPr>
          </w:p>
          <w:p w14:paraId="3654DBB0">
            <w:pPr>
              <w:spacing w:line="68" w:lineRule="atLeast"/>
              <w:ind w:firstLine="0" w:firstLineChars="0"/>
              <w:jc w:val="center"/>
              <w:rPr>
                <w:rFonts w:ascii="宋体" w:hAnsi="宋体" w:eastAsia="宋体" w:cs="宋体"/>
              </w:rPr>
            </w:pPr>
          </w:p>
          <w:p w14:paraId="63BC7947">
            <w:pPr>
              <w:spacing w:line="68" w:lineRule="atLeast"/>
              <w:ind w:firstLine="0" w:firstLineChars="0"/>
              <w:jc w:val="center"/>
              <w:rPr>
                <w:rFonts w:ascii="宋体" w:hAnsi="宋体" w:eastAsia="宋体" w:cs="宋体"/>
              </w:rPr>
            </w:pPr>
          </w:p>
          <w:p w14:paraId="17369148">
            <w:pPr>
              <w:spacing w:line="68" w:lineRule="atLeast"/>
              <w:ind w:firstLine="0" w:firstLineChars="0"/>
              <w:jc w:val="center"/>
              <w:rPr>
                <w:rFonts w:ascii="宋体" w:hAnsi="宋体" w:eastAsia="宋体" w:cs="宋体"/>
              </w:rPr>
            </w:pPr>
          </w:p>
          <w:p w14:paraId="1D968F1A">
            <w:pPr>
              <w:spacing w:line="68" w:lineRule="atLeast"/>
              <w:ind w:firstLine="0" w:firstLineChars="0"/>
              <w:jc w:val="center"/>
              <w:rPr>
                <w:rFonts w:ascii="宋体" w:hAnsi="宋体" w:eastAsia="宋体" w:cs="宋体"/>
              </w:rPr>
            </w:pPr>
          </w:p>
          <w:p w14:paraId="334AFB8C">
            <w:pPr>
              <w:spacing w:line="68" w:lineRule="atLeast"/>
              <w:ind w:firstLine="0" w:firstLineChars="0"/>
              <w:jc w:val="center"/>
              <w:rPr>
                <w:rFonts w:ascii="宋体" w:hAnsi="宋体" w:eastAsia="宋体" w:cs="宋体"/>
              </w:rPr>
            </w:pPr>
          </w:p>
          <w:p w14:paraId="29290113">
            <w:pPr>
              <w:spacing w:line="68" w:lineRule="atLeast"/>
              <w:ind w:firstLine="0" w:firstLineChars="0"/>
              <w:jc w:val="center"/>
              <w:rPr>
                <w:rFonts w:ascii="宋体" w:hAnsi="宋体" w:eastAsia="宋体" w:cs="宋体"/>
              </w:rPr>
            </w:pPr>
          </w:p>
          <w:p w14:paraId="667E3BA7">
            <w:pPr>
              <w:spacing w:line="68" w:lineRule="atLeast"/>
              <w:ind w:firstLine="0" w:firstLineChars="0"/>
              <w:rPr>
                <w:rFonts w:hint="eastAsia" w:ascii="宋体" w:hAnsi="宋体" w:eastAsia="宋体" w:cs="宋体"/>
              </w:rPr>
            </w:pPr>
          </w:p>
          <w:p w14:paraId="7F94CB3E">
            <w:pPr>
              <w:spacing w:line="68" w:lineRule="atLeast"/>
              <w:ind w:firstLine="0" w:firstLineChars="0"/>
              <w:rPr>
                <w:rFonts w:ascii="宋体" w:hAnsi="宋体" w:eastAsia="宋体" w:cs="宋体"/>
              </w:rPr>
            </w:pPr>
            <w:r>
              <w:rPr>
                <w:rFonts w:hint="eastAsia" w:ascii="宋体" w:hAnsi="宋体" w:eastAsia="宋体" w:cs="宋体"/>
              </w:rPr>
              <w:t>过程(55分)</w:t>
            </w:r>
          </w:p>
          <w:p w14:paraId="63F1157C">
            <w:pPr>
              <w:spacing w:line="68" w:lineRule="atLeast"/>
              <w:ind w:firstLine="0" w:firstLineChars="0"/>
              <w:jc w:val="center"/>
              <w:rPr>
                <w:rFonts w:ascii="宋体" w:hAnsi="宋体" w:eastAsia="宋体" w:cs="宋体"/>
              </w:rPr>
            </w:pPr>
          </w:p>
          <w:p w14:paraId="6BCC2BB6">
            <w:pPr>
              <w:spacing w:line="68" w:lineRule="atLeast"/>
              <w:ind w:firstLine="0" w:firstLineChars="0"/>
              <w:jc w:val="center"/>
              <w:rPr>
                <w:rFonts w:ascii="宋体" w:hAnsi="宋体" w:eastAsia="宋体" w:cs="宋体"/>
              </w:rPr>
            </w:pPr>
          </w:p>
          <w:p w14:paraId="3FDA5FDA">
            <w:pPr>
              <w:spacing w:line="68" w:lineRule="atLeast"/>
              <w:ind w:firstLine="0" w:firstLineChars="0"/>
              <w:jc w:val="center"/>
              <w:rPr>
                <w:rFonts w:ascii="宋体" w:hAnsi="宋体" w:eastAsia="宋体" w:cs="宋体"/>
              </w:rPr>
            </w:pPr>
          </w:p>
          <w:p w14:paraId="1C031292">
            <w:pPr>
              <w:spacing w:line="68" w:lineRule="atLeast"/>
              <w:ind w:firstLine="0" w:firstLineChars="0"/>
              <w:jc w:val="center"/>
              <w:rPr>
                <w:rFonts w:ascii="宋体" w:hAnsi="宋体" w:eastAsia="宋体" w:cs="宋体"/>
              </w:rPr>
            </w:pPr>
          </w:p>
          <w:p w14:paraId="6D65080D">
            <w:pPr>
              <w:spacing w:line="68" w:lineRule="atLeast"/>
              <w:ind w:firstLine="0" w:firstLineChars="0"/>
              <w:jc w:val="center"/>
              <w:rPr>
                <w:rFonts w:ascii="宋体" w:hAnsi="宋体" w:eastAsia="宋体" w:cs="宋体"/>
              </w:rPr>
            </w:pPr>
          </w:p>
          <w:p w14:paraId="3A7AD103">
            <w:pPr>
              <w:spacing w:line="68" w:lineRule="atLeast"/>
              <w:ind w:firstLine="0" w:firstLineChars="0"/>
              <w:jc w:val="center"/>
              <w:rPr>
                <w:rFonts w:ascii="宋体" w:hAnsi="宋体" w:eastAsia="宋体" w:cs="宋体"/>
              </w:rPr>
            </w:pPr>
          </w:p>
          <w:p w14:paraId="2963C222">
            <w:pPr>
              <w:spacing w:line="68" w:lineRule="atLeast"/>
              <w:ind w:firstLine="0" w:firstLineChars="0"/>
              <w:jc w:val="center"/>
              <w:rPr>
                <w:rFonts w:ascii="宋体" w:hAnsi="宋体" w:eastAsia="宋体" w:cs="宋体"/>
              </w:rPr>
            </w:pPr>
          </w:p>
          <w:p w14:paraId="6F5B76E6">
            <w:pPr>
              <w:spacing w:line="68" w:lineRule="atLeast"/>
              <w:ind w:firstLine="0" w:firstLineChars="0"/>
              <w:jc w:val="center"/>
              <w:rPr>
                <w:rFonts w:ascii="宋体" w:hAnsi="宋体" w:eastAsia="宋体" w:cs="宋体"/>
              </w:rPr>
            </w:pPr>
          </w:p>
          <w:p w14:paraId="3BDEB885">
            <w:pPr>
              <w:spacing w:line="68" w:lineRule="atLeast"/>
              <w:ind w:firstLine="0" w:firstLineChars="0"/>
              <w:jc w:val="center"/>
              <w:rPr>
                <w:rFonts w:ascii="宋体" w:hAnsi="宋体" w:eastAsia="宋体" w:cs="宋体"/>
              </w:rPr>
            </w:pPr>
          </w:p>
          <w:p w14:paraId="70861085">
            <w:pPr>
              <w:spacing w:line="68" w:lineRule="atLeast"/>
              <w:ind w:firstLine="0" w:firstLineChars="0"/>
              <w:jc w:val="center"/>
              <w:rPr>
                <w:rFonts w:ascii="宋体" w:hAnsi="宋体" w:eastAsia="宋体" w:cs="宋体"/>
              </w:rPr>
            </w:pPr>
          </w:p>
          <w:p w14:paraId="5293CD11">
            <w:pPr>
              <w:spacing w:line="68" w:lineRule="atLeast"/>
              <w:ind w:firstLine="0" w:firstLineChars="0"/>
              <w:jc w:val="center"/>
              <w:rPr>
                <w:rFonts w:ascii="宋体" w:hAnsi="宋体" w:eastAsia="宋体" w:cs="宋体"/>
              </w:rPr>
            </w:pPr>
          </w:p>
          <w:p w14:paraId="65AE0785">
            <w:pPr>
              <w:spacing w:line="68" w:lineRule="atLeast"/>
              <w:ind w:firstLine="0" w:firstLineChars="0"/>
              <w:jc w:val="center"/>
              <w:rPr>
                <w:rFonts w:ascii="宋体" w:hAnsi="宋体" w:eastAsia="宋体" w:cs="宋体"/>
              </w:rPr>
            </w:pPr>
          </w:p>
          <w:p w14:paraId="654582D6">
            <w:pPr>
              <w:spacing w:line="68" w:lineRule="atLeast"/>
              <w:ind w:firstLine="0" w:firstLineChars="0"/>
              <w:jc w:val="center"/>
              <w:rPr>
                <w:rFonts w:ascii="宋体" w:hAnsi="宋体" w:eastAsia="宋体" w:cs="宋体"/>
              </w:rPr>
            </w:pPr>
          </w:p>
          <w:p w14:paraId="376E35E6">
            <w:pPr>
              <w:spacing w:line="68" w:lineRule="atLeast"/>
              <w:ind w:firstLine="0" w:firstLineChars="0"/>
              <w:jc w:val="center"/>
              <w:rPr>
                <w:rFonts w:ascii="宋体" w:hAnsi="宋体" w:eastAsia="宋体" w:cs="宋体"/>
              </w:rPr>
            </w:pPr>
          </w:p>
          <w:p w14:paraId="023D3C99">
            <w:pPr>
              <w:spacing w:line="68" w:lineRule="atLeast"/>
              <w:ind w:firstLine="0" w:firstLineChars="0"/>
              <w:jc w:val="center"/>
              <w:rPr>
                <w:rFonts w:ascii="宋体" w:hAnsi="宋体" w:eastAsia="宋体" w:cs="宋体"/>
              </w:rPr>
            </w:pPr>
          </w:p>
          <w:p w14:paraId="1FEA5EA0">
            <w:pPr>
              <w:spacing w:line="68" w:lineRule="atLeast"/>
              <w:ind w:firstLine="0" w:firstLineChars="0"/>
              <w:jc w:val="center"/>
              <w:rPr>
                <w:rFonts w:ascii="宋体" w:hAnsi="宋体" w:eastAsia="宋体" w:cs="宋体"/>
              </w:rPr>
            </w:pPr>
          </w:p>
          <w:p w14:paraId="1097BB97">
            <w:pPr>
              <w:spacing w:line="68" w:lineRule="atLeast"/>
              <w:ind w:firstLine="0" w:firstLineChars="0"/>
              <w:jc w:val="center"/>
              <w:rPr>
                <w:rFonts w:ascii="宋体" w:hAnsi="宋体" w:eastAsia="宋体" w:cs="宋体"/>
              </w:rPr>
            </w:pPr>
          </w:p>
          <w:p w14:paraId="47B47F26">
            <w:pPr>
              <w:spacing w:line="68" w:lineRule="atLeast"/>
              <w:ind w:firstLine="0" w:firstLineChars="0"/>
              <w:jc w:val="center"/>
              <w:rPr>
                <w:rFonts w:ascii="宋体" w:hAnsi="宋体" w:eastAsia="宋体" w:cs="宋体"/>
              </w:rPr>
            </w:pPr>
          </w:p>
          <w:p w14:paraId="2ABAF60E">
            <w:pPr>
              <w:spacing w:line="68" w:lineRule="atLeast"/>
              <w:ind w:firstLine="0" w:firstLineChars="0"/>
              <w:jc w:val="center"/>
              <w:rPr>
                <w:rFonts w:ascii="宋体" w:hAnsi="宋体" w:eastAsia="宋体" w:cs="宋体"/>
              </w:rPr>
            </w:pPr>
          </w:p>
          <w:p w14:paraId="51DC773C">
            <w:pPr>
              <w:spacing w:line="68" w:lineRule="atLeast"/>
              <w:ind w:firstLine="0" w:firstLineChars="0"/>
              <w:jc w:val="center"/>
              <w:rPr>
                <w:rFonts w:ascii="宋体" w:hAnsi="宋体" w:eastAsia="宋体" w:cs="宋体"/>
              </w:rPr>
            </w:pPr>
          </w:p>
          <w:p w14:paraId="5EEE43B0">
            <w:pPr>
              <w:spacing w:line="68" w:lineRule="atLeast"/>
              <w:ind w:firstLine="0" w:firstLineChars="0"/>
              <w:jc w:val="center"/>
              <w:rPr>
                <w:rFonts w:ascii="宋体" w:hAnsi="宋体" w:eastAsia="宋体" w:cs="宋体"/>
              </w:rPr>
            </w:pPr>
          </w:p>
          <w:p w14:paraId="125820F8">
            <w:pPr>
              <w:spacing w:line="68" w:lineRule="atLeast"/>
              <w:ind w:firstLine="0" w:firstLineChars="0"/>
              <w:jc w:val="center"/>
              <w:rPr>
                <w:rFonts w:ascii="宋体" w:hAnsi="宋体" w:eastAsia="宋体" w:cs="宋体"/>
              </w:rPr>
            </w:pPr>
          </w:p>
          <w:p w14:paraId="52FD984C">
            <w:pPr>
              <w:spacing w:line="68" w:lineRule="atLeast"/>
              <w:ind w:firstLine="0" w:firstLineChars="0"/>
              <w:jc w:val="center"/>
              <w:rPr>
                <w:rFonts w:ascii="宋体" w:hAnsi="宋体" w:eastAsia="宋体" w:cs="宋体"/>
              </w:rPr>
            </w:pPr>
          </w:p>
          <w:p w14:paraId="79CF1DCF">
            <w:pPr>
              <w:spacing w:line="68" w:lineRule="atLeast"/>
              <w:ind w:firstLine="0" w:firstLineChars="0"/>
              <w:jc w:val="center"/>
              <w:rPr>
                <w:rFonts w:ascii="宋体" w:hAnsi="宋体" w:eastAsia="宋体" w:cs="宋体"/>
              </w:rPr>
            </w:pPr>
          </w:p>
          <w:p w14:paraId="2C8D2B53">
            <w:pPr>
              <w:spacing w:line="68" w:lineRule="atLeast"/>
              <w:ind w:firstLine="0" w:firstLineChars="0"/>
              <w:jc w:val="center"/>
              <w:rPr>
                <w:rFonts w:ascii="宋体" w:hAnsi="宋体" w:eastAsia="宋体" w:cs="宋体"/>
              </w:rPr>
            </w:pPr>
          </w:p>
          <w:p w14:paraId="7553B57C">
            <w:pPr>
              <w:spacing w:line="68" w:lineRule="atLeast"/>
              <w:ind w:firstLine="0" w:firstLineChars="0"/>
              <w:rPr>
                <w:rFonts w:ascii="宋体" w:hAnsi="宋体" w:eastAsia="宋体" w:cs="宋体"/>
              </w:rPr>
            </w:pPr>
            <w:r>
              <w:rPr>
                <w:rFonts w:hint="eastAsia" w:ascii="宋体" w:hAnsi="宋体" w:eastAsia="宋体" w:cs="宋体"/>
              </w:rPr>
              <w:t>过程(55分)</w:t>
            </w:r>
          </w:p>
          <w:p w14:paraId="2C26D10D">
            <w:pPr>
              <w:spacing w:line="68" w:lineRule="atLeast"/>
              <w:ind w:firstLine="0" w:firstLineChars="0"/>
              <w:jc w:val="center"/>
              <w:rPr>
                <w:rFonts w:ascii="宋体" w:hAnsi="宋体" w:eastAsia="宋体" w:cs="宋体"/>
              </w:rPr>
            </w:pPr>
          </w:p>
          <w:p w14:paraId="6BA875E1">
            <w:pPr>
              <w:spacing w:line="68" w:lineRule="atLeast"/>
              <w:ind w:firstLine="0" w:firstLineChars="0"/>
              <w:jc w:val="center"/>
              <w:rPr>
                <w:rFonts w:ascii="宋体" w:hAnsi="宋体" w:eastAsia="宋体" w:cs="宋体"/>
              </w:rPr>
            </w:pPr>
          </w:p>
          <w:p w14:paraId="43504263">
            <w:pPr>
              <w:spacing w:line="68" w:lineRule="atLeast"/>
              <w:ind w:firstLine="0" w:firstLineChars="0"/>
              <w:jc w:val="center"/>
              <w:rPr>
                <w:rFonts w:ascii="宋体" w:hAnsi="宋体" w:eastAsia="宋体" w:cs="宋体"/>
              </w:rPr>
            </w:pPr>
          </w:p>
          <w:p w14:paraId="6FD3C496">
            <w:pPr>
              <w:spacing w:line="68" w:lineRule="atLeast"/>
              <w:ind w:firstLine="0" w:firstLineChars="0"/>
              <w:jc w:val="center"/>
              <w:rPr>
                <w:rFonts w:ascii="宋体" w:hAnsi="宋体" w:eastAsia="宋体" w:cs="宋体"/>
              </w:rPr>
            </w:pPr>
          </w:p>
          <w:p w14:paraId="5CA8B3BB">
            <w:pPr>
              <w:spacing w:line="68" w:lineRule="atLeast"/>
              <w:ind w:firstLine="0" w:firstLineChars="0"/>
              <w:jc w:val="center"/>
              <w:rPr>
                <w:rFonts w:ascii="宋体" w:hAnsi="宋体" w:eastAsia="宋体" w:cs="宋体"/>
              </w:rPr>
            </w:pPr>
          </w:p>
          <w:p w14:paraId="70A6ED51">
            <w:pPr>
              <w:spacing w:line="68" w:lineRule="atLeast"/>
              <w:ind w:firstLine="0" w:firstLineChars="0"/>
              <w:jc w:val="center"/>
              <w:rPr>
                <w:rFonts w:ascii="宋体" w:hAnsi="宋体" w:eastAsia="宋体" w:cs="宋体"/>
              </w:rPr>
            </w:pPr>
          </w:p>
          <w:p w14:paraId="7EE51EAC">
            <w:pPr>
              <w:spacing w:line="68" w:lineRule="atLeast"/>
              <w:ind w:firstLine="0" w:firstLineChars="0"/>
              <w:jc w:val="center"/>
              <w:rPr>
                <w:rFonts w:ascii="宋体" w:hAnsi="宋体" w:eastAsia="宋体" w:cs="宋体"/>
              </w:rPr>
            </w:pPr>
          </w:p>
          <w:p w14:paraId="7B5D4B45">
            <w:pPr>
              <w:spacing w:line="68" w:lineRule="atLeast"/>
              <w:ind w:firstLine="0" w:firstLineChars="0"/>
              <w:jc w:val="center"/>
              <w:rPr>
                <w:rFonts w:ascii="宋体" w:hAnsi="宋体" w:eastAsia="宋体" w:cs="宋体"/>
              </w:rPr>
            </w:pPr>
          </w:p>
          <w:p w14:paraId="7E9E53BB">
            <w:pPr>
              <w:spacing w:line="68" w:lineRule="atLeast"/>
              <w:ind w:firstLine="0" w:firstLineChars="0"/>
              <w:rPr>
                <w:rFonts w:ascii="宋体" w:hAnsi="宋体" w:eastAsia="宋体" w:cs="宋体"/>
              </w:rPr>
            </w:pPr>
          </w:p>
          <w:p w14:paraId="6581A066">
            <w:pPr>
              <w:spacing w:line="68" w:lineRule="atLeast"/>
              <w:ind w:firstLine="0" w:firstLineChars="0"/>
              <w:rPr>
                <w:rFonts w:ascii="宋体" w:hAnsi="宋体" w:eastAsia="宋体" w:cs="宋体"/>
              </w:rPr>
            </w:pPr>
          </w:p>
          <w:p w14:paraId="0B63EA9C">
            <w:pPr>
              <w:spacing w:line="68" w:lineRule="atLeast"/>
              <w:ind w:firstLine="0" w:firstLineChars="0"/>
              <w:rPr>
                <w:rFonts w:ascii="宋体" w:hAnsi="宋体" w:eastAsia="宋体" w:cs="宋体"/>
              </w:rPr>
            </w:pPr>
          </w:p>
          <w:p w14:paraId="459D796C">
            <w:pPr>
              <w:spacing w:line="68" w:lineRule="atLeast"/>
              <w:ind w:firstLine="0" w:firstLineChars="0"/>
              <w:rPr>
                <w:rFonts w:ascii="宋体" w:hAnsi="宋体" w:eastAsia="宋体" w:cs="宋体"/>
              </w:rPr>
            </w:pPr>
          </w:p>
          <w:p w14:paraId="32DF819E">
            <w:pPr>
              <w:spacing w:line="68" w:lineRule="atLeast"/>
              <w:ind w:firstLine="0" w:firstLineChars="0"/>
              <w:rPr>
                <w:rFonts w:ascii="宋体" w:hAnsi="宋体" w:eastAsia="宋体" w:cs="宋体"/>
              </w:rPr>
            </w:pPr>
          </w:p>
          <w:p w14:paraId="6F35A6E8">
            <w:pPr>
              <w:spacing w:line="68" w:lineRule="atLeast"/>
              <w:ind w:firstLine="0" w:firstLineChars="0"/>
              <w:rPr>
                <w:rFonts w:ascii="宋体" w:hAnsi="宋体" w:eastAsia="宋体" w:cs="宋体"/>
              </w:rPr>
            </w:pPr>
            <w:r>
              <w:rPr>
                <w:rFonts w:hint="eastAsia" w:ascii="宋体" w:hAnsi="宋体" w:eastAsia="宋体" w:cs="宋体"/>
              </w:rPr>
              <w:t>过程(55分)</w:t>
            </w:r>
          </w:p>
          <w:p w14:paraId="15108412">
            <w:pPr>
              <w:spacing w:line="68" w:lineRule="atLeast"/>
              <w:ind w:firstLine="0" w:firstLineChars="0"/>
              <w:rPr>
                <w:rFonts w:ascii="宋体" w:hAnsi="宋体" w:eastAsia="宋体" w:cs="宋体"/>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72FB7C60">
            <w:pPr>
              <w:spacing w:line="68" w:lineRule="atLeast"/>
              <w:ind w:firstLine="0" w:firstLineChars="0"/>
              <w:rPr>
                <w:rFonts w:ascii="宋体" w:hAnsi="宋体" w:eastAsia="宋体" w:cs="宋体"/>
              </w:rPr>
            </w:pPr>
            <w:r>
              <w:rPr>
                <w:rFonts w:hint="eastAsia" w:ascii="宋体" w:hAnsi="宋体" w:eastAsia="宋体" w:cs="宋体"/>
              </w:rPr>
              <w:t>预算执行(27分)</w:t>
            </w:r>
          </w:p>
        </w:tc>
        <w:tc>
          <w:tcPr>
            <w:tcW w:w="1182" w:type="dxa"/>
            <w:tcBorders>
              <w:top w:val="single" w:color="000000" w:sz="4" w:space="0"/>
              <w:left w:val="single" w:color="000000" w:sz="4" w:space="0"/>
              <w:bottom w:val="single" w:color="000000" w:sz="4" w:space="0"/>
              <w:right w:val="single" w:color="auto" w:sz="4" w:space="0"/>
            </w:tcBorders>
            <w:vAlign w:val="center"/>
          </w:tcPr>
          <w:p w14:paraId="412A5BBB">
            <w:pPr>
              <w:spacing w:line="68" w:lineRule="atLeast"/>
              <w:ind w:firstLine="0" w:firstLineChars="0"/>
              <w:rPr>
                <w:rFonts w:ascii="宋体" w:hAnsi="宋体" w:eastAsia="宋体" w:cs="宋体"/>
              </w:rPr>
            </w:pPr>
            <w:r>
              <w:rPr>
                <w:rFonts w:hint="eastAsia" w:ascii="宋体" w:hAnsi="宋体" w:eastAsia="宋体" w:cs="宋体"/>
              </w:rPr>
              <w:t>预算完成率（3分）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4A254F3D">
            <w:pPr>
              <w:spacing w:line="240" w:lineRule="exact"/>
              <w:ind w:firstLine="0" w:firstLineChars="0"/>
              <w:rPr>
                <w:rFonts w:ascii="宋体" w:hAnsi="宋体" w:eastAsia="宋体" w:cs="宋体"/>
              </w:rPr>
            </w:pPr>
            <w:r>
              <w:rPr>
                <w:rFonts w:hint="eastAsia" w:ascii="宋体" w:hAnsi="宋体" w:eastAsia="宋体" w:cs="宋体"/>
              </w:rPr>
              <w:t>通过对部门本年度预算完成数与预算数的比较，反映和评价部门预算的完成程度。</w:t>
            </w:r>
          </w:p>
          <w:p w14:paraId="1060A8D0">
            <w:pPr>
              <w:spacing w:line="68" w:lineRule="atLeast"/>
              <w:ind w:firstLine="0" w:firstLineChars="0"/>
              <w:rPr>
                <w:rFonts w:ascii="宋体" w:hAnsi="宋体" w:eastAsia="宋体" w:cs="宋体"/>
              </w:rPr>
            </w:pPr>
            <w:r>
              <w:rPr>
                <w:rFonts w:hint="eastAsia" w:ascii="宋体" w:hAnsi="宋体" w:eastAsia="宋体" w:cs="宋体"/>
              </w:rPr>
              <w:t>预算完成率=（预算完成数/预算数）×100%。</w:t>
            </w:r>
          </w:p>
        </w:tc>
        <w:tc>
          <w:tcPr>
            <w:tcW w:w="3423" w:type="dxa"/>
            <w:tcBorders>
              <w:top w:val="single" w:color="000000" w:sz="4" w:space="0"/>
              <w:left w:val="single" w:color="auto" w:sz="4" w:space="0"/>
              <w:bottom w:val="single" w:color="000000" w:sz="4" w:space="0"/>
              <w:right w:val="single" w:color="auto" w:sz="4" w:space="0"/>
            </w:tcBorders>
            <w:vAlign w:val="center"/>
          </w:tcPr>
          <w:p w14:paraId="4FCBA816">
            <w:pPr>
              <w:spacing w:line="68" w:lineRule="atLeast"/>
              <w:ind w:firstLine="0" w:firstLineChars="0"/>
              <w:rPr>
                <w:rFonts w:ascii="宋体" w:hAnsi="宋体" w:eastAsia="宋体" w:cs="宋体"/>
              </w:rPr>
            </w:pPr>
            <w:r>
              <w:rPr>
                <w:rFonts w:hint="eastAsia" w:ascii="宋体" w:hAnsi="宋体" w:eastAsia="宋体" w:cs="宋体"/>
              </w:rPr>
              <w:t>目标值≥100%；</w:t>
            </w:r>
          </w:p>
          <w:p w14:paraId="7BE696BA">
            <w:pPr>
              <w:spacing w:line="68" w:lineRule="atLeast"/>
              <w:ind w:firstLine="0" w:firstLineChars="0"/>
              <w:rPr>
                <w:rFonts w:ascii="宋体" w:hAnsi="宋体" w:eastAsia="宋体" w:cs="宋体"/>
              </w:rPr>
            </w:pPr>
            <w:r>
              <w:rPr>
                <w:rFonts w:hint="eastAsia" w:ascii="宋体" w:hAnsi="宋体" w:eastAsia="宋体" w:cs="宋体"/>
              </w:rPr>
              <w:t>达到目标值的得3分；</w:t>
            </w:r>
          </w:p>
          <w:p w14:paraId="78D3E4D8">
            <w:pPr>
              <w:spacing w:line="68" w:lineRule="atLeast"/>
              <w:ind w:firstLine="0" w:firstLineChars="0"/>
              <w:rPr>
                <w:rFonts w:ascii="宋体" w:hAnsi="宋体" w:eastAsia="宋体" w:cs="宋体"/>
              </w:rPr>
            </w:pPr>
            <w:r>
              <w:rPr>
                <w:rFonts w:hint="eastAsia" w:ascii="宋体" w:hAnsi="宋体" w:eastAsia="宋体" w:cs="宋体"/>
              </w:rPr>
              <w:t>100%＞结果≥90%，得3分；</w:t>
            </w:r>
          </w:p>
          <w:p w14:paraId="3DFDAFA5">
            <w:pPr>
              <w:spacing w:line="68" w:lineRule="atLeast"/>
              <w:ind w:firstLine="0" w:firstLineChars="0"/>
              <w:rPr>
                <w:rFonts w:ascii="宋体" w:hAnsi="宋体" w:eastAsia="宋体" w:cs="宋体"/>
              </w:rPr>
            </w:pPr>
            <w:r>
              <w:rPr>
                <w:rFonts w:hint="eastAsia" w:ascii="宋体" w:hAnsi="宋体" w:eastAsia="宋体" w:cs="宋体"/>
              </w:rPr>
              <w:t>90%＞结果≥80%，得1分；</w:t>
            </w:r>
          </w:p>
          <w:p w14:paraId="40A0F668">
            <w:pPr>
              <w:spacing w:line="68" w:lineRule="atLeast"/>
              <w:ind w:firstLine="0" w:firstLineChars="0"/>
              <w:rPr>
                <w:rFonts w:ascii="宋体" w:hAnsi="宋体" w:eastAsia="宋体" w:cs="宋体"/>
              </w:rPr>
            </w:pPr>
            <w:r>
              <w:rPr>
                <w:rFonts w:hint="eastAsia" w:ascii="宋体" w:hAnsi="宋体" w:eastAsia="宋体" w:cs="宋体"/>
              </w:rPr>
              <w:t>结果＜80%得0分。</w:t>
            </w:r>
          </w:p>
        </w:tc>
        <w:tc>
          <w:tcPr>
            <w:tcW w:w="1090" w:type="dxa"/>
            <w:tcBorders>
              <w:top w:val="single" w:color="000000" w:sz="4" w:space="0"/>
              <w:left w:val="single" w:color="auto" w:sz="4" w:space="0"/>
              <w:bottom w:val="single" w:color="000000" w:sz="4" w:space="0"/>
              <w:right w:val="single" w:color="000000" w:sz="4" w:space="0"/>
            </w:tcBorders>
            <w:vAlign w:val="center"/>
          </w:tcPr>
          <w:p w14:paraId="098442A4">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0</w:t>
            </w:r>
          </w:p>
        </w:tc>
      </w:tr>
      <w:tr w14:paraId="0737D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5" w:hRule="atLeast"/>
          <w:jc w:val="center"/>
        </w:trPr>
        <w:tc>
          <w:tcPr>
            <w:tcW w:w="733" w:type="dxa"/>
            <w:vMerge w:val="continue"/>
            <w:tcBorders>
              <w:left w:val="single" w:color="000000" w:sz="4" w:space="0"/>
              <w:right w:val="single" w:color="000000" w:sz="4" w:space="0"/>
            </w:tcBorders>
            <w:vAlign w:val="center"/>
          </w:tcPr>
          <w:p w14:paraId="54BA99B3">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27F26EAA">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355E0452">
            <w:pPr>
              <w:spacing w:line="68" w:lineRule="atLeast"/>
              <w:ind w:firstLine="0" w:firstLineChars="0"/>
              <w:rPr>
                <w:rFonts w:ascii="宋体" w:hAnsi="宋体" w:eastAsia="宋体" w:cs="宋体"/>
              </w:rPr>
            </w:pPr>
            <w:r>
              <w:rPr>
                <w:rFonts w:hint="eastAsia" w:ascii="宋体" w:hAnsi="宋体" w:eastAsia="宋体" w:cs="宋体"/>
              </w:rPr>
              <w:t>预算调整率（3分）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293A0913">
            <w:pPr>
              <w:spacing w:line="240" w:lineRule="exact"/>
              <w:ind w:firstLine="0" w:firstLineChars="0"/>
              <w:rPr>
                <w:rFonts w:ascii="宋体" w:hAnsi="宋体" w:eastAsia="宋体" w:cs="宋体"/>
              </w:rPr>
            </w:pPr>
            <w:r>
              <w:rPr>
                <w:rFonts w:hint="eastAsia" w:ascii="宋体" w:hAnsi="宋体" w:eastAsia="宋体" w:cs="宋体"/>
              </w:rPr>
              <w:t>部门本年度预算调整数与预算数的比率，用以反映和评价部门预算的调整程度。</w:t>
            </w:r>
          </w:p>
          <w:p w14:paraId="27A30569">
            <w:pPr>
              <w:spacing w:line="68" w:lineRule="atLeast"/>
              <w:ind w:firstLine="0" w:firstLineChars="0"/>
              <w:rPr>
                <w:rFonts w:ascii="宋体" w:hAnsi="宋体" w:eastAsia="宋体" w:cs="宋体"/>
              </w:rPr>
            </w:pPr>
            <w:r>
              <w:rPr>
                <w:rFonts w:hint="eastAsia" w:ascii="宋体" w:hAnsi="宋体" w:eastAsia="宋体" w:cs="宋体"/>
              </w:rPr>
              <w:t>预算调整率=（预算调整数/预算数）×100%。</w:t>
            </w:r>
          </w:p>
        </w:tc>
        <w:tc>
          <w:tcPr>
            <w:tcW w:w="3423" w:type="dxa"/>
            <w:tcBorders>
              <w:top w:val="single" w:color="000000" w:sz="4" w:space="0"/>
              <w:left w:val="single" w:color="auto" w:sz="4" w:space="0"/>
              <w:bottom w:val="single" w:color="000000" w:sz="4" w:space="0"/>
              <w:right w:val="single" w:color="auto" w:sz="4" w:space="0"/>
            </w:tcBorders>
            <w:vAlign w:val="center"/>
          </w:tcPr>
          <w:p w14:paraId="59B9EE78">
            <w:pPr>
              <w:spacing w:line="68" w:lineRule="atLeast"/>
              <w:ind w:firstLine="0" w:firstLineChars="0"/>
              <w:rPr>
                <w:rFonts w:ascii="宋体" w:hAnsi="宋体" w:eastAsia="宋体" w:cs="宋体"/>
              </w:rPr>
            </w:pPr>
            <w:r>
              <w:rPr>
                <w:rFonts w:hint="eastAsia" w:ascii="宋体" w:hAnsi="宋体" w:eastAsia="宋体" w:cs="宋体"/>
              </w:rPr>
              <w:t>目标值为10%；达到目标值得3分，未达到目标值的每增加0.1个百分点扣0.1分，扣完为止。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17A9F80A">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0</w:t>
            </w:r>
          </w:p>
        </w:tc>
      </w:tr>
      <w:tr w14:paraId="14EFD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0" w:hRule="atLeast"/>
          <w:jc w:val="center"/>
        </w:trPr>
        <w:tc>
          <w:tcPr>
            <w:tcW w:w="733" w:type="dxa"/>
            <w:vMerge w:val="continue"/>
            <w:tcBorders>
              <w:left w:val="single" w:color="000000" w:sz="4" w:space="0"/>
              <w:right w:val="single" w:color="000000" w:sz="4" w:space="0"/>
            </w:tcBorders>
            <w:vAlign w:val="center"/>
          </w:tcPr>
          <w:p w14:paraId="151C1880">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AC849A1">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29630CBA">
            <w:pPr>
              <w:spacing w:line="240" w:lineRule="exact"/>
              <w:ind w:firstLine="0" w:firstLineChars="0"/>
              <w:rPr>
                <w:rFonts w:ascii="宋体" w:hAnsi="宋体" w:eastAsia="宋体" w:cs="宋体"/>
              </w:rPr>
            </w:pPr>
            <w:r>
              <w:rPr>
                <w:rFonts w:hint="eastAsia" w:ascii="宋体" w:hAnsi="宋体" w:eastAsia="宋体" w:cs="宋体"/>
                <w:color w:val="000000"/>
              </w:rPr>
              <w:t>支付进度率</w:t>
            </w:r>
            <w:r>
              <w:rPr>
                <w:rFonts w:hint="eastAsia" w:ascii="宋体" w:hAnsi="宋体" w:eastAsia="宋体" w:cs="宋体"/>
              </w:rPr>
              <w:t>（6分）</w:t>
            </w:r>
          </w:p>
        </w:tc>
        <w:tc>
          <w:tcPr>
            <w:tcW w:w="6911" w:type="dxa"/>
            <w:tcBorders>
              <w:top w:val="single" w:color="000000" w:sz="4" w:space="0"/>
              <w:left w:val="single" w:color="auto" w:sz="4" w:space="0"/>
              <w:bottom w:val="single" w:color="000000" w:sz="4" w:space="0"/>
              <w:right w:val="single" w:color="auto" w:sz="4" w:space="0"/>
            </w:tcBorders>
            <w:vAlign w:val="center"/>
          </w:tcPr>
          <w:p w14:paraId="40EA5CA3">
            <w:pPr>
              <w:spacing w:line="240" w:lineRule="exact"/>
              <w:ind w:firstLine="0" w:firstLineChars="0"/>
              <w:rPr>
                <w:rFonts w:ascii="宋体" w:hAnsi="宋体" w:eastAsia="宋体" w:cs="宋体"/>
              </w:rPr>
            </w:pPr>
            <w:r>
              <w:rPr>
                <w:rFonts w:hint="eastAsia" w:ascii="宋体" w:hAnsi="宋体" w:eastAsia="宋体" w:cs="宋体"/>
              </w:rPr>
              <w:t>部门年度支付数与年度预算（调整）数的比率，用以反映和评价部门预算执行的及时和均衡程度。</w:t>
            </w:r>
          </w:p>
          <w:p w14:paraId="30FB40E6">
            <w:pPr>
              <w:spacing w:line="240" w:lineRule="exact"/>
              <w:ind w:firstLine="0" w:firstLineChars="0"/>
              <w:rPr>
                <w:rFonts w:ascii="宋体" w:hAnsi="宋体" w:eastAsia="宋体" w:cs="宋体"/>
              </w:rPr>
            </w:pPr>
            <w:r>
              <w:rPr>
                <w:rFonts w:hint="eastAsia" w:ascii="宋体" w:hAnsi="宋体" w:eastAsia="宋体" w:cs="宋体"/>
              </w:rPr>
              <w:t>半年支付进度=部门上半年实际支出÷（上年结余结转+本年部门预算安排+上半年执行中追加追减）×100%</w:t>
            </w:r>
          </w:p>
          <w:p w14:paraId="5C315409">
            <w:pPr>
              <w:spacing w:line="240" w:lineRule="exact"/>
              <w:ind w:firstLine="0" w:firstLineChars="0"/>
              <w:rPr>
                <w:rFonts w:ascii="宋体" w:hAnsi="宋体" w:eastAsia="宋体" w:cs="宋体"/>
              </w:rPr>
            </w:pPr>
            <w:r>
              <w:rPr>
                <w:rFonts w:hint="eastAsia" w:ascii="宋体" w:hAnsi="宋体" w:eastAsia="宋体" w:cs="宋体"/>
              </w:rPr>
              <w:t>全年支付进度=部门全年实际支出÷（上年结余结转+本年部门预算安排+全年执行中追加追减）×100%</w:t>
            </w:r>
          </w:p>
        </w:tc>
        <w:tc>
          <w:tcPr>
            <w:tcW w:w="3423" w:type="dxa"/>
            <w:tcBorders>
              <w:top w:val="single" w:color="000000" w:sz="4" w:space="0"/>
              <w:left w:val="single" w:color="auto" w:sz="4" w:space="0"/>
              <w:bottom w:val="single" w:color="000000" w:sz="4" w:space="0"/>
              <w:right w:val="single" w:color="auto" w:sz="4" w:space="0"/>
            </w:tcBorders>
            <w:vAlign w:val="center"/>
          </w:tcPr>
          <w:p w14:paraId="687E266C">
            <w:pPr>
              <w:spacing w:line="240" w:lineRule="exact"/>
              <w:ind w:firstLine="0" w:firstLineChars="0"/>
              <w:rPr>
                <w:rFonts w:ascii="宋体" w:hAnsi="宋体" w:eastAsia="宋体" w:cs="宋体"/>
              </w:rPr>
            </w:pPr>
            <w:r>
              <w:rPr>
                <w:rFonts w:hint="eastAsia" w:ascii="宋体" w:hAnsi="宋体" w:eastAsia="宋体" w:cs="宋体"/>
              </w:rPr>
              <w:t>半年进度：结果≥50%，得2分；50%＞结果≥40%，得1分；结果＜40%，得0分。</w:t>
            </w:r>
          </w:p>
          <w:p w14:paraId="66FF476F">
            <w:pPr>
              <w:spacing w:line="240" w:lineRule="exact"/>
              <w:ind w:firstLine="0" w:firstLineChars="0"/>
              <w:rPr>
                <w:rFonts w:ascii="宋体" w:hAnsi="宋体" w:eastAsia="宋体" w:cs="宋体"/>
              </w:rPr>
            </w:pPr>
            <w:r>
              <w:rPr>
                <w:rFonts w:hint="eastAsia" w:ascii="宋体" w:hAnsi="宋体" w:eastAsia="宋体" w:cs="宋体"/>
              </w:rPr>
              <w:t>全年进度：结果≥100%，得4分；100%＞结果≥95%，得3分；95%＞结果≥90%，得2分；90%＞结果≥85%，得2分；结果＜85%，得0分。</w:t>
            </w:r>
          </w:p>
        </w:tc>
        <w:tc>
          <w:tcPr>
            <w:tcW w:w="1090" w:type="dxa"/>
            <w:tcBorders>
              <w:top w:val="single" w:color="000000" w:sz="4" w:space="0"/>
              <w:left w:val="single" w:color="auto" w:sz="4" w:space="0"/>
              <w:bottom w:val="single" w:color="000000" w:sz="4" w:space="0"/>
              <w:right w:val="single" w:color="000000" w:sz="4" w:space="0"/>
            </w:tcBorders>
            <w:vAlign w:val="center"/>
          </w:tcPr>
          <w:p w14:paraId="386AABF3">
            <w:pPr>
              <w:spacing w:line="240" w:lineRule="exac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0</w:t>
            </w:r>
          </w:p>
        </w:tc>
      </w:tr>
      <w:tr w14:paraId="7E30B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jc w:val="center"/>
        </w:trPr>
        <w:tc>
          <w:tcPr>
            <w:tcW w:w="733" w:type="dxa"/>
            <w:vMerge w:val="continue"/>
            <w:tcBorders>
              <w:left w:val="single" w:color="000000" w:sz="4" w:space="0"/>
              <w:right w:val="single" w:color="000000" w:sz="4" w:space="0"/>
            </w:tcBorders>
            <w:vAlign w:val="center"/>
          </w:tcPr>
          <w:p w14:paraId="55C08242">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E14D09F">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57EE28CA">
            <w:pPr>
              <w:spacing w:line="240" w:lineRule="exact"/>
              <w:ind w:firstLine="0" w:firstLineChars="0"/>
              <w:rPr>
                <w:rFonts w:ascii="宋体" w:hAnsi="宋体" w:eastAsia="宋体" w:cs="宋体"/>
              </w:rPr>
            </w:pPr>
            <w:r>
              <w:rPr>
                <w:rFonts w:hint="eastAsia" w:ascii="宋体" w:hAnsi="宋体" w:eastAsia="宋体" w:cs="宋体"/>
              </w:rPr>
              <w:t>结转结余率（3分）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7AF47ED8">
            <w:pPr>
              <w:spacing w:line="240" w:lineRule="exact"/>
              <w:ind w:firstLine="0" w:firstLineChars="0"/>
              <w:rPr>
                <w:rFonts w:ascii="宋体" w:hAnsi="宋体" w:eastAsia="宋体" w:cs="宋体"/>
              </w:rPr>
            </w:pPr>
            <w:r>
              <w:rPr>
                <w:rFonts w:hint="eastAsia" w:ascii="宋体" w:hAnsi="宋体" w:eastAsia="宋体" w:cs="宋体"/>
              </w:rPr>
              <w:t>通过对部门本年度结转结余总额与支出预算数的比较，反映和评价部门对本年度结转结余资金的实际控制程度。</w:t>
            </w:r>
          </w:p>
          <w:p w14:paraId="1DEDD27C">
            <w:pPr>
              <w:spacing w:line="240" w:lineRule="exact"/>
              <w:ind w:firstLine="0" w:firstLineChars="0"/>
              <w:rPr>
                <w:rFonts w:ascii="宋体" w:hAnsi="宋体" w:eastAsia="宋体" w:cs="宋体"/>
              </w:rPr>
            </w:pPr>
            <w:r>
              <w:rPr>
                <w:rFonts w:hint="eastAsia" w:ascii="宋体" w:hAnsi="宋体" w:eastAsia="宋体" w:cs="宋体"/>
              </w:rPr>
              <w:t>结转结余率=（结转结余总额/支出预算数）×100%。</w:t>
            </w:r>
          </w:p>
        </w:tc>
        <w:tc>
          <w:tcPr>
            <w:tcW w:w="3423" w:type="dxa"/>
            <w:tcBorders>
              <w:top w:val="single" w:color="000000" w:sz="4" w:space="0"/>
              <w:left w:val="single" w:color="auto" w:sz="4" w:space="0"/>
              <w:bottom w:val="single" w:color="000000" w:sz="4" w:space="0"/>
              <w:right w:val="single" w:color="auto" w:sz="4" w:space="0"/>
            </w:tcBorders>
            <w:vAlign w:val="center"/>
          </w:tcPr>
          <w:p w14:paraId="7DC60CC6">
            <w:pPr>
              <w:spacing w:line="240" w:lineRule="exact"/>
              <w:ind w:firstLine="0" w:firstLineChars="0"/>
              <w:rPr>
                <w:rFonts w:ascii="宋体" w:hAnsi="宋体" w:eastAsia="宋体" w:cs="宋体"/>
              </w:rPr>
            </w:pPr>
            <w:r>
              <w:rPr>
                <w:rFonts w:hint="eastAsia" w:ascii="宋体" w:hAnsi="宋体" w:eastAsia="宋体" w:cs="宋体"/>
              </w:rPr>
              <w:t>目标值为0；达到目标值得3分，未达到目标值的每增加0.1个百分点扣0.1分，扣完为止。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09288348">
            <w:pPr>
              <w:spacing w:line="240" w:lineRule="exac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3</w:t>
            </w:r>
          </w:p>
        </w:tc>
      </w:tr>
      <w:tr w14:paraId="54D3B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7" w:hRule="atLeast"/>
          <w:jc w:val="center"/>
        </w:trPr>
        <w:tc>
          <w:tcPr>
            <w:tcW w:w="733" w:type="dxa"/>
            <w:vMerge w:val="continue"/>
            <w:tcBorders>
              <w:left w:val="single" w:color="000000" w:sz="4" w:space="0"/>
              <w:right w:val="single" w:color="000000" w:sz="4" w:space="0"/>
            </w:tcBorders>
            <w:vAlign w:val="center"/>
          </w:tcPr>
          <w:p w14:paraId="4F7FDEBC">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C6D8EFD">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55B008E0">
            <w:pPr>
              <w:spacing w:line="240" w:lineRule="exact"/>
              <w:ind w:firstLine="0" w:firstLineChars="0"/>
              <w:rPr>
                <w:rFonts w:ascii="宋体" w:hAnsi="宋体" w:eastAsia="宋体" w:cs="宋体"/>
              </w:rPr>
            </w:pPr>
            <w:r>
              <w:rPr>
                <w:rFonts w:hint="eastAsia" w:ascii="宋体" w:hAnsi="宋体" w:eastAsia="宋体" w:cs="宋体"/>
              </w:rPr>
              <w:t>结转结余变动率(3分）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0FB77F86">
            <w:pPr>
              <w:spacing w:line="240" w:lineRule="exact"/>
              <w:ind w:firstLine="0" w:firstLineChars="0"/>
              <w:rPr>
                <w:rFonts w:ascii="宋体" w:hAnsi="宋体" w:eastAsia="宋体" w:cs="宋体"/>
              </w:rPr>
            </w:pPr>
            <w:r>
              <w:rPr>
                <w:rFonts w:hint="eastAsia" w:ascii="宋体" w:hAnsi="宋体" w:eastAsia="宋体" w:cs="宋体"/>
              </w:rPr>
              <w:t>部门本年度结转结余资金总额与上年度结转结余资金总额的变动比率，用以反映和考核部门对控制结转结余资金的努力程度。</w:t>
            </w:r>
          </w:p>
          <w:p w14:paraId="5777759A">
            <w:pPr>
              <w:spacing w:line="240" w:lineRule="exact"/>
              <w:ind w:firstLine="0" w:firstLineChars="0"/>
              <w:rPr>
                <w:rFonts w:ascii="宋体" w:hAnsi="宋体" w:eastAsia="宋体" w:cs="宋体"/>
              </w:rPr>
            </w:pPr>
            <w:r>
              <w:rPr>
                <w:rFonts w:hint="eastAsia" w:ascii="宋体" w:hAnsi="宋体" w:eastAsia="宋体" w:cs="宋体"/>
              </w:rPr>
              <w:t>结转结余变动率=〔（本年度累计结转结余资金总额-上年度累计结转结余资金总额）/上年度累计结转结余资金总额〕×100%。</w:t>
            </w:r>
          </w:p>
        </w:tc>
        <w:tc>
          <w:tcPr>
            <w:tcW w:w="3423" w:type="dxa"/>
            <w:tcBorders>
              <w:top w:val="single" w:color="000000" w:sz="4" w:space="0"/>
              <w:left w:val="single" w:color="auto" w:sz="4" w:space="0"/>
              <w:bottom w:val="single" w:color="000000" w:sz="4" w:space="0"/>
              <w:right w:val="single" w:color="auto" w:sz="4" w:space="0"/>
            </w:tcBorders>
            <w:vAlign w:val="center"/>
          </w:tcPr>
          <w:p w14:paraId="18DBDA58">
            <w:pPr>
              <w:spacing w:line="240" w:lineRule="exact"/>
              <w:ind w:firstLine="0" w:firstLineChars="0"/>
              <w:rPr>
                <w:rFonts w:ascii="宋体" w:hAnsi="宋体" w:eastAsia="宋体" w:cs="宋体"/>
              </w:rPr>
            </w:pPr>
            <w:r>
              <w:rPr>
                <w:rFonts w:hint="eastAsia" w:ascii="宋体" w:hAnsi="宋体" w:eastAsia="宋体" w:cs="宋体"/>
              </w:rPr>
              <w:t>目标值为≤0%；达到目标值得3分，未达到目标值的采用比率扣分法：扣分值=结转结余变动率×2×10，变动率达10%以上的扣2分。</w:t>
            </w:r>
          </w:p>
        </w:tc>
        <w:tc>
          <w:tcPr>
            <w:tcW w:w="1090" w:type="dxa"/>
            <w:tcBorders>
              <w:top w:val="single" w:color="000000" w:sz="4" w:space="0"/>
              <w:left w:val="single" w:color="auto" w:sz="4" w:space="0"/>
              <w:bottom w:val="single" w:color="000000" w:sz="4" w:space="0"/>
              <w:right w:val="single" w:color="000000" w:sz="4" w:space="0"/>
            </w:tcBorders>
            <w:vAlign w:val="center"/>
          </w:tcPr>
          <w:p w14:paraId="20F029A6">
            <w:pPr>
              <w:spacing w:line="240" w:lineRule="exact"/>
              <w:ind w:firstLine="0" w:firstLineChars="0"/>
              <w:rPr>
                <w:rFonts w:ascii="宋体" w:hAnsi="宋体" w:eastAsia="宋体" w:cs="宋体"/>
              </w:rPr>
            </w:pPr>
            <w:r>
              <w:rPr>
                <w:rFonts w:hint="eastAsia" w:ascii="宋体" w:hAnsi="宋体" w:eastAsia="宋体" w:cs="宋体"/>
              </w:rPr>
              <w:t>3</w:t>
            </w:r>
          </w:p>
        </w:tc>
      </w:tr>
      <w:tr w14:paraId="461D7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733" w:type="dxa"/>
            <w:vMerge w:val="continue"/>
            <w:tcBorders>
              <w:left w:val="single" w:color="000000" w:sz="4" w:space="0"/>
              <w:right w:val="single" w:color="000000" w:sz="4" w:space="0"/>
            </w:tcBorders>
            <w:vAlign w:val="center"/>
          </w:tcPr>
          <w:p w14:paraId="19281306">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9F0DC71">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3B1B5584">
            <w:pPr>
              <w:spacing w:line="240" w:lineRule="exact"/>
              <w:ind w:firstLine="0" w:firstLineChars="0"/>
              <w:rPr>
                <w:rFonts w:ascii="宋体" w:hAnsi="宋体" w:eastAsia="宋体" w:cs="宋体"/>
              </w:rPr>
            </w:pPr>
            <w:r>
              <w:rPr>
                <w:rFonts w:hint="eastAsia" w:ascii="宋体" w:hAnsi="宋体" w:eastAsia="宋体" w:cs="宋体"/>
              </w:rPr>
              <w:t>公用经费控制率（3分）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3D7A7896">
            <w:pPr>
              <w:spacing w:line="240" w:lineRule="exact"/>
              <w:ind w:firstLine="0" w:firstLineChars="0"/>
              <w:rPr>
                <w:rFonts w:ascii="宋体" w:hAnsi="宋体" w:eastAsia="宋体" w:cs="宋体"/>
              </w:rPr>
            </w:pPr>
            <w:r>
              <w:rPr>
                <w:rFonts w:hint="eastAsia" w:ascii="宋体" w:hAnsi="宋体" w:eastAsia="宋体" w:cs="宋体"/>
              </w:rPr>
              <w:t>通过对部门本年度实际支出的公用经费总额与预算安排的公用经费总额的比率，反映和评价部门对机构运转成本的实际控制程度。</w:t>
            </w:r>
          </w:p>
          <w:p w14:paraId="1A4E9749">
            <w:pPr>
              <w:spacing w:line="240" w:lineRule="exact"/>
              <w:ind w:firstLine="0" w:firstLineChars="0"/>
              <w:rPr>
                <w:rFonts w:ascii="宋体" w:hAnsi="宋体" w:eastAsia="宋体" w:cs="宋体"/>
              </w:rPr>
            </w:pPr>
            <w:r>
              <w:rPr>
                <w:rFonts w:hint="eastAsia" w:ascii="宋体" w:hAnsi="宋体" w:eastAsia="宋体" w:cs="宋体"/>
              </w:rPr>
              <w:t>公用经费控制率=（实际支出公用经费总额/预算安排公用经费总额）×100%。</w:t>
            </w:r>
          </w:p>
        </w:tc>
        <w:tc>
          <w:tcPr>
            <w:tcW w:w="3423" w:type="dxa"/>
            <w:tcBorders>
              <w:top w:val="single" w:color="000000" w:sz="4" w:space="0"/>
              <w:left w:val="single" w:color="auto" w:sz="4" w:space="0"/>
              <w:bottom w:val="single" w:color="000000" w:sz="4" w:space="0"/>
              <w:right w:val="single" w:color="auto" w:sz="4" w:space="0"/>
            </w:tcBorders>
            <w:vAlign w:val="center"/>
          </w:tcPr>
          <w:p w14:paraId="11CA6827">
            <w:pPr>
              <w:spacing w:line="240" w:lineRule="exact"/>
              <w:ind w:firstLine="0" w:firstLineChars="0"/>
              <w:rPr>
                <w:rFonts w:ascii="宋体" w:hAnsi="宋体" w:eastAsia="宋体" w:cs="宋体"/>
              </w:rPr>
            </w:pPr>
            <w:r>
              <w:rPr>
                <w:rFonts w:hint="eastAsia" w:ascii="宋体" w:hAnsi="宋体" w:eastAsia="宋体" w:cs="宋体"/>
              </w:rPr>
              <w:t>目标值为≤100%；达到目标值得3分，未达到目标值的每增加0.1个百分点扣0.1分，扣完为止。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1D6FE8DE">
            <w:pPr>
              <w:spacing w:line="240" w:lineRule="exac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3</w:t>
            </w:r>
          </w:p>
        </w:tc>
      </w:tr>
      <w:tr w14:paraId="38191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3" w:hRule="atLeast"/>
          <w:jc w:val="center"/>
        </w:trPr>
        <w:tc>
          <w:tcPr>
            <w:tcW w:w="733" w:type="dxa"/>
            <w:vMerge w:val="continue"/>
            <w:tcBorders>
              <w:left w:val="single" w:color="000000" w:sz="4" w:space="0"/>
              <w:right w:val="single" w:color="000000" w:sz="4" w:space="0"/>
            </w:tcBorders>
            <w:vAlign w:val="center"/>
          </w:tcPr>
          <w:p w14:paraId="26D39C82">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751478B">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4E0EDAD5">
            <w:pPr>
              <w:spacing w:line="240" w:lineRule="exact"/>
              <w:ind w:firstLine="0" w:firstLineChars="0"/>
              <w:rPr>
                <w:rFonts w:ascii="宋体" w:hAnsi="宋体" w:eastAsia="宋体" w:cs="宋体"/>
              </w:rPr>
            </w:pPr>
            <w:r>
              <w:rPr>
                <w:rFonts w:hint="eastAsia" w:ascii="宋体" w:hAnsi="宋体" w:eastAsia="宋体" w:cs="宋体"/>
              </w:rPr>
              <w:t>“三公经费”控制率（3分）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580A2246">
            <w:pPr>
              <w:spacing w:line="240" w:lineRule="exact"/>
              <w:ind w:firstLine="0" w:firstLineChars="0"/>
              <w:rPr>
                <w:rFonts w:ascii="宋体" w:hAnsi="宋体" w:eastAsia="宋体" w:cs="宋体"/>
              </w:rPr>
            </w:pPr>
            <w:r>
              <w:rPr>
                <w:rFonts w:hint="eastAsia" w:ascii="宋体" w:hAnsi="宋体" w:eastAsia="宋体" w:cs="宋体"/>
              </w:rPr>
              <w:t>部门（单位）本年度“三公经费”实际支出数与预算安排数的比率，用以反映和考核部门（单位）对“三公经费”的实际控制程度。</w:t>
            </w:r>
          </w:p>
          <w:p w14:paraId="222CFF98">
            <w:pPr>
              <w:spacing w:line="240" w:lineRule="exact"/>
              <w:ind w:firstLine="0" w:firstLineChars="0"/>
              <w:rPr>
                <w:rFonts w:ascii="宋体" w:hAnsi="宋体" w:eastAsia="宋体" w:cs="宋体"/>
              </w:rPr>
            </w:pPr>
            <w:r>
              <w:rPr>
                <w:rFonts w:hint="eastAsia" w:ascii="宋体" w:hAnsi="宋体" w:eastAsia="宋体" w:cs="宋体"/>
              </w:rPr>
              <w:t>“三公经费”控制率=（“三公经费”实际支出/“三公经费”预算安排数）×100%</w:t>
            </w:r>
          </w:p>
        </w:tc>
        <w:tc>
          <w:tcPr>
            <w:tcW w:w="3423" w:type="dxa"/>
            <w:tcBorders>
              <w:top w:val="single" w:color="000000" w:sz="4" w:space="0"/>
              <w:left w:val="single" w:color="auto" w:sz="4" w:space="0"/>
              <w:bottom w:val="single" w:color="000000" w:sz="4" w:space="0"/>
              <w:right w:val="single" w:color="auto" w:sz="4" w:space="0"/>
            </w:tcBorders>
            <w:vAlign w:val="center"/>
          </w:tcPr>
          <w:p w14:paraId="2E5099DD">
            <w:pPr>
              <w:spacing w:line="240" w:lineRule="exact"/>
              <w:ind w:firstLine="0" w:firstLineChars="0"/>
              <w:rPr>
                <w:rFonts w:ascii="宋体" w:hAnsi="宋体" w:eastAsia="宋体" w:cs="宋体"/>
              </w:rPr>
            </w:pPr>
            <w:r>
              <w:rPr>
                <w:rFonts w:hint="eastAsia" w:ascii="宋体" w:hAnsi="宋体" w:eastAsia="宋体" w:cs="宋体"/>
              </w:rPr>
              <w:t>目标值为≤100%；达到目标值得3分，未达到目标值的每增加0.1个百分点扣0.1分，扣完为止。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50271DD4">
            <w:pPr>
              <w:spacing w:line="240" w:lineRule="exact"/>
              <w:ind w:firstLine="0" w:firstLineChars="0"/>
              <w:rPr>
                <w:rFonts w:ascii="宋体" w:hAnsi="宋体" w:eastAsia="宋体" w:cs="宋体"/>
              </w:rPr>
            </w:pPr>
            <w:r>
              <w:rPr>
                <w:rFonts w:hint="eastAsia" w:ascii="宋体" w:hAnsi="宋体" w:eastAsia="宋体" w:cs="宋体"/>
              </w:rPr>
              <w:t>3</w:t>
            </w:r>
          </w:p>
        </w:tc>
      </w:tr>
      <w:tr w14:paraId="25140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1" w:hRule="atLeast"/>
          <w:jc w:val="center"/>
        </w:trPr>
        <w:tc>
          <w:tcPr>
            <w:tcW w:w="733" w:type="dxa"/>
            <w:vMerge w:val="continue"/>
            <w:tcBorders>
              <w:left w:val="single" w:color="000000" w:sz="4" w:space="0"/>
              <w:right w:val="single" w:color="000000" w:sz="4" w:space="0"/>
            </w:tcBorders>
            <w:vAlign w:val="center"/>
          </w:tcPr>
          <w:p w14:paraId="751B127D">
            <w:pPr>
              <w:ind w:firstLine="0" w:firstLineChars="0"/>
              <w:rPr>
                <w:rFonts w:ascii="宋体" w:hAnsi="宋体" w:eastAsia="宋体" w:cs="宋体"/>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8B7F437">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6626CD3D">
            <w:pPr>
              <w:spacing w:line="240" w:lineRule="exact"/>
              <w:ind w:firstLine="0" w:firstLineChars="0"/>
              <w:rPr>
                <w:rFonts w:ascii="宋体" w:hAnsi="宋体" w:eastAsia="宋体" w:cs="宋体"/>
              </w:rPr>
            </w:pPr>
            <w:r>
              <w:rPr>
                <w:rFonts w:hint="eastAsia" w:ascii="宋体" w:hAnsi="宋体" w:eastAsia="宋体" w:cs="宋体"/>
              </w:rPr>
              <w:t>政府采购执行率（3分）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36D7D05E">
            <w:pPr>
              <w:spacing w:line="240" w:lineRule="exact"/>
              <w:ind w:firstLine="0" w:firstLineChars="0"/>
              <w:rPr>
                <w:rFonts w:ascii="宋体" w:hAnsi="宋体" w:eastAsia="宋体" w:cs="宋体"/>
              </w:rPr>
            </w:pPr>
            <w:r>
              <w:rPr>
                <w:rFonts w:hint="eastAsia" w:ascii="宋体" w:hAnsi="宋体" w:eastAsia="宋体" w:cs="宋体"/>
              </w:rPr>
              <w:t>通过对部门本年度实际政府采购预算项目个数与政府采购预算项目个数的比较，反映和评价部门政府采购预算执行情况。</w:t>
            </w:r>
          </w:p>
          <w:p w14:paraId="7FC9CF3E">
            <w:pPr>
              <w:spacing w:line="240" w:lineRule="exact"/>
              <w:ind w:firstLine="0" w:firstLineChars="0"/>
              <w:rPr>
                <w:rFonts w:ascii="宋体" w:hAnsi="宋体" w:eastAsia="宋体" w:cs="宋体"/>
              </w:rPr>
            </w:pPr>
            <w:r>
              <w:rPr>
                <w:rFonts w:hint="eastAsia" w:ascii="宋体" w:hAnsi="宋体" w:eastAsia="宋体" w:cs="宋体"/>
              </w:rPr>
              <w:t>政府采购执行率=（实际政府采购预算项目个数/政府采购预算项目个数）×100%。</w:t>
            </w:r>
          </w:p>
          <w:p w14:paraId="5CF313A4">
            <w:pPr>
              <w:spacing w:line="240" w:lineRule="exact"/>
              <w:ind w:firstLine="0" w:firstLineChars="0"/>
              <w:rPr>
                <w:rFonts w:ascii="宋体" w:hAnsi="宋体" w:eastAsia="宋体" w:cs="宋体"/>
              </w:rPr>
            </w:pPr>
            <w:r>
              <w:rPr>
                <w:rFonts w:hint="eastAsia" w:ascii="宋体" w:hAnsi="宋体" w:eastAsia="宋体" w:cs="宋体"/>
              </w:rPr>
              <w:t>政府采购项目中非预算内安排的项目除外。</w:t>
            </w:r>
          </w:p>
        </w:tc>
        <w:tc>
          <w:tcPr>
            <w:tcW w:w="3423" w:type="dxa"/>
            <w:tcBorders>
              <w:top w:val="single" w:color="000000" w:sz="4" w:space="0"/>
              <w:left w:val="single" w:color="auto" w:sz="4" w:space="0"/>
              <w:bottom w:val="single" w:color="000000" w:sz="4" w:space="0"/>
              <w:right w:val="single" w:color="auto" w:sz="4" w:space="0"/>
            </w:tcBorders>
            <w:vAlign w:val="center"/>
          </w:tcPr>
          <w:p w14:paraId="3595F572">
            <w:pPr>
              <w:spacing w:line="240" w:lineRule="exact"/>
              <w:ind w:firstLine="0" w:firstLineChars="0"/>
              <w:rPr>
                <w:rFonts w:ascii="宋体" w:hAnsi="宋体" w:eastAsia="宋体" w:cs="宋体"/>
              </w:rPr>
            </w:pPr>
            <w:r>
              <w:rPr>
                <w:rFonts w:hint="eastAsia" w:ascii="宋体" w:hAnsi="宋体" w:eastAsia="宋体" w:cs="宋体"/>
              </w:rPr>
              <w:t>目标值为100%；以3分为上限，采用完成比率法计分：得分=政府采购执行率×3。</w:t>
            </w:r>
          </w:p>
        </w:tc>
        <w:tc>
          <w:tcPr>
            <w:tcW w:w="1090" w:type="dxa"/>
            <w:tcBorders>
              <w:top w:val="single" w:color="000000" w:sz="4" w:space="0"/>
              <w:left w:val="single" w:color="auto" w:sz="4" w:space="0"/>
              <w:bottom w:val="single" w:color="000000" w:sz="4" w:space="0"/>
              <w:right w:val="single" w:color="000000" w:sz="4" w:space="0"/>
            </w:tcBorders>
            <w:vAlign w:val="center"/>
          </w:tcPr>
          <w:p w14:paraId="6E53A8A4">
            <w:pPr>
              <w:spacing w:line="240" w:lineRule="exac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0</w:t>
            </w:r>
          </w:p>
        </w:tc>
      </w:tr>
      <w:tr w14:paraId="4A575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4" w:hRule="atLeast"/>
          <w:jc w:val="center"/>
        </w:trPr>
        <w:tc>
          <w:tcPr>
            <w:tcW w:w="733" w:type="dxa"/>
            <w:vMerge w:val="continue"/>
            <w:tcBorders>
              <w:left w:val="single" w:color="000000" w:sz="4" w:space="0"/>
              <w:right w:val="single" w:color="000000" w:sz="4" w:space="0"/>
            </w:tcBorders>
            <w:vAlign w:val="center"/>
          </w:tcPr>
          <w:p w14:paraId="18BF96ED">
            <w:pPr>
              <w:ind w:firstLine="0" w:firstLineChars="0"/>
              <w:rPr>
                <w:rFonts w:ascii="宋体" w:hAnsi="宋体" w:eastAsia="宋体" w:cs="宋体"/>
              </w:rPr>
            </w:pPr>
          </w:p>
        </w:tc>
        <w:tc>
          <w:tcPr>
            <w:tcW w:w="803" w:type="dxa"/>
            <w:vMerge w:val="restart"/>
            <w:tcBorders>
              <w:top w:val="single" w:color="000000" w:sz="4" w:space="0"/>
              <w:left w:val="single" w:color="000000" w:sz="4" w:space="0"/>
              <w:right w:val="single" w:color="000000" w:sz="4" w:space="0"/>
            </w:tcBorders>
            <w:vAlign w:val="center"/>
          </w:tcPr>
          <w:p w14:paraId="3995F4C6">
            <w:pPr>
              <w:spacing w:line="240" w:lineRule="exact"/>
              <w:ind w:firstLine="0" w:firstLineChars="0"/>
              <w:rPr>
                <w:rFonts w:ascii="宋体" w:hAnsi="宋体" w:eastAsia="宋体" w:cs="宋体"/>
              </w:rPr>
            </w:pPr>
            <w:r>
              <w:rPr>
                <w:rFonts w:hint="eastAsia" w:ascii="宋体" w:hAnsi="宋体" w:eastAsia="宋体" w:cs="宋体"/>
              </w:rPr>
              <w:t>预算管理</w:t>
            </w:r>
          </w:p>
          <w:p w14:paraId="0B035498">
            <w:pPr>
              <w:spacing w:line="68" w:lineRule="atLeast"/>
              <w:ind w:firstLine="0" w:firstLineChars="0"/>
              <w:rPr>
                <w:rFonts w:ascii="宋体" w:hAnsi="宋体" w:eastAsia="宋体" w:cs="宋体"/>
              </w:rPr>
            </w:pPr>
            <w:r>
              <w:rPr>
                <w:rFonts w:hint="eastAsia" w:ascii="宋体" w:hAnsi="宋体" w:eastAsia="宋体" w:cs="宋体"/>
              </w:rPr>
              <w:t>（18分）</w:t>
            </w:r>
          </w:p>
        </w:tc>
        <w:tc>
          <w:tcPr>
            <w:tcW w:w="1182" w:type="dxa"/>
            <w:tcBorders>
              <w:top w:val="single" w:color="000000" w:sz="4" w:space="0"/>
              <w:left w:val="single" w:color="000000" w:sz="4" w:space="0"/>
              <w:bottom w:val="single" w:color="000000" w:sz="4" w:space="0"/>
              <w:right w:val="single" w:color="auto" w:sz="4" w:space="0"/>
            </w:tcBorders>
            <w:vAlign w:val="center"/>
          </w:tcPr>
          <w:p w14:paraId="56355CDB">
            <w:pPr>
              <w:spacing w:line="240" w:lineRule="exact"/>
              <w:ind w:firstLine="0" w:firstLineChars="0"/>
              <w:rPr>
                <w:rFonts w:ascii="宋体" w:hAnsi="宋体" w:eastAsia="宋体" w:cs="宋体"/>
              </w:rPr>
            </w:pPr>
            <w:r>
              <w:rPr>
                <w:rFonts w:hint="eastAsia" w:ascii="宋体" w:hAnsi="宋体" w:eastAsia="宋体" w:cs="宋体"/>
              </w:rPr>
              <w:t>管理制度健全性</w:t>
            </w:r>
          </w:p>
          <w:p w14:paraId="110C9802">
            <w:pPr>
              <w:spacing w:line="240" w:lineRule="exact"/>
              <w:ind w:firstLine="0" w:firstLineChars="0"/>
              <w:rPr>
                <w:rFonts w:ascii="宋体" w:hAnsi="宋体" w:eastAsia="宋体" w:cs="宋体"/>
              </w:rPr>
            </w:pPr>
            <w:r>
              <w:rPr>
                <w:rFonts w:hint="eastAsia" w:ascii="宋体" w:hAnsi="宋体" w:eastAsia="宋体" w:cs="宋体"/>
              </w:rPr>
              <w:t>（2分）</w:t>
            </w:r>
          </w:p>
        </w:tc>
        <w:tc>
          <w:tcPr>
            <w:tcW w:w="6911" w:type="dxa"/>
            <w:tcBorders>
              <w:top w:val="single" w:color="000000" w:sz="4" w:space="0"/>
              <w:left w:val="single" w:color="auto" w:sz="4" w:space="0"/>
              <w:bottom w:val="single" w:color="000000" w:sz="4" w:space="0"/>
              <w:right w:val="single" w:color="auto" w:sz="4" w:space="0"/>
            </w:tcBorders>
            <w:vAlign w:val="center"/>
          </w:tcPr>
          <w:p w14:paraId="480935AB">
            <w:pPr>
              <w:spacing w:line="240" w:lineRule="exact"/>
              <w:ind w:firstLine="0" w:firstLineChars="0"/>
              <w:rPr>
                <w:rFonts w:ascii="宋体" w:hAnsi="宋体" w:eastAsia="宋体" w:cs="宋体"/>
              </w:rPr>
            </w:pPr>
            <w:r>
              <w:rPr>
                <w:rFonts w:hint="eastAsia" w:ascii="宋体" w:hAnsi="宋体" w:eastAsia="宋体" w:cs="宋体"/>
              </w:rPr>
              <w:t>部门为加强预算管理，规范财务行为而制定的管理制度是否健全完整，用以反映和考核部门预算管理制度对完成主要职责或促进事业发展的保障情况。</w:t>
            </w:r>
          </w:p>
          <w:p w14:paraId="6FFECAE2">
            <w:pPr>
              <w:spacing w:line="240" w:lineRule="exact"/>
              <w:ind w:firstLine="0" w:firstLineChars="0"/>
              <w:rPr>
                <w:rFonts w:ascii="宋体" w:hAnsi="宋体" w:eastAsia="宋体" w:cs="宋体"/>
              </w:rPr>
            </w:pPr>
            <w:r>
              <w:rPr>
                <w:rFonts w:hint="eastAsia" w:ascii="宋体" w:hAnsi="宋体" w:eastAsia="宋体" w:cs="宋体"/>
              </w:rPr>
              <w:t>评价要点：</w:t>
            </w:r>
          </w:p>
          <w:p w14:paraId="7C51CC31">
            <w:pPr>
              <w:spacing w:line="240" w:lineRule="exact"/>
              <w:ind w:firstLine="0" w:firstLineChars="0"/>
              <w:rPr>
                <w:rFonts w:ascii="宋体" w:hAnsi="宋体" w:eastAsia="宋体" w:cs="宋体"/>
              </w:rPr>
            </w:pPr>
            <w:r>
              <w:rPr>
                <w:rFonts w:hint="eastAsia" w:ascii="宋体" w:hAnsi="宋体" w:eastAsia="宋体" w:cs="宋体"/>
              </w:rPr>
              <w:t>1．是否已制定或具有预算资金管理办法、内部财务管理制度、会计核算制度等管理制度；</w:t>
            </w:r>
          </w:p>
          <w:p w14:paraId="14095706">
            <w:pPr>
              <w:spacing w:line="240" w:lineRule="exact"/>
              <w:ind w:firstLine="0" w:firstLineChars="0"/>
              <w:rPr>
                <w:rFonts w:ascii="宋体" w:hAnsi="宋体" w:eastAsia="宋体" w:cs="宋体"/>
              </w:rPr>
            </w:pPr>
            <w:r>
              <w:rPr>
                <w:rFonts w:hint="eastAsia" w:ascii="宋体" w:hAnsi="宋体" w:eastAsia="宋体" w:cs="宋体"/>
              </w:rPr>
              <w:t>2.相关管理制度是否合法、合规、完整；</w:t>
            </w:r>
          </w:p>
          <w:p w14:paraId="3BFC6155">
            <w:pPr>
              <w:spacing w:line="240" w:lineRule="exact"/>
              <w:ind w:firstLine="0" w:firstLineChars="0"/>
              <w:rPr>
                <w:rFonts w:ascii="宋体" w:hAnsi="宋体" w:eastAsia="宋体" w:cs="宋体"/>
              </w:rPr>
            </w:pPr>
            <w:r>
              <w:rPr>
                <w:rFonts w:hint="eastAsia" w:ascii="宋体" w:hAnsi="宋体" w:eastAsia="宋体" w:cs="宋体"/>
              </w:rPr>
              <w:t>3.相关管理制度是否得到有效执行。</w:t>
            </w:r>
          </w:p>
        </w:tc>
        <w:tc>
          <w:tcPr>
            <w:tcW w:w="3423" w:type="dxa"/>
            <w:tcBorders>
              <w:top w:val="single" w:color="000000" w:sz="4" w:space="0"/>
              <w:left w:val="single" w:color="auto" w:sz="4" w:space="0"/>
              <w:bottom w:val="single" w:color="000000" w:sz="4" w:space="0"/>
              <w:right w:val="single" w:color="auto" w:sz="4" w:space="0"/>
            </w:tcBorders>
            <w:vAlign w:val="center"/>
          </w:tcPr>
          <w:p w14:paraId="1ADEB3AA">
            <w:pPr>
              <w:spacing w:line="240" w:lineRule="exact"/>
              <w:ind w:firstLine="0" w:firstLineChars="0"/>
              <w:rPr>
                <w:rFonts w:ascii="宋体" w:hAnsi="宋体" w:eastAsia="宋体" w:cs="宋体"/>
              </w:rPr>
            </w:pPr>
            <w:r>
              <w:rPr>
                <w:rFonts w:hint="eastAsia" w:ascii="宋体" w:hAnsi="宋体" w:eastAsia="宋体" w:cs="宋体"/>
              </w:rPr>
              <w:t>全部符合（2分）；</w:t>
            </w:r>
          </w:p>
          <w:p w14:paraId="1A1A75BA">
            <w:pPr>
              <w:spacing w:line="240" w:lineRule="exact"/>
              <w:ind w:firstLine="0" w:firstLineChars="0"/>
              <w:rPr>
                <w:rFonts w:ascii="宋体" w:hAnsi="宋体" w:eastAsia="宋体" w:cs="宋体"/>
              </w:rPr>
            </w:pPr>
            <w:r>
              <w:rPr>
                <w:rFonts w:hint="eastAsia" w:ascii="宋体" w:hAnsi="宋体" w:eastAsia="宋体" w:cs="宋体"/>
              </w:rPr>
              <w:t>符合其中两项（1分）</w:t>
            </w:r>
          </w:p>
          <w:p w14:paraId="5FE8EA92">
            <w:pPr>
              <w:spacing w:line="240" w:lineRule="exact"/>
              <w:ind w:firstLine="0" w:firstLineChars="0"/>
              <w:rPr>
                <w:rFonts w:ascii="宋体" w:hAnsi="宋体" w:eastAsia="宋体" w:cs="宋体"/>
              </w:rPr>
            </w:pPr>
            <w:r>
              <w:rPr>
                <w:rFonts w:hint="eastAsia" w:ascii="宋体" w:hAnsi="宋体" w:eastAsia="宋体" w:cs="宋体"/>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5D185D3E">
            <w:pPr>
              <w:spacing w:line="240" w:lineRule="exact"/>
              <w:ind w:firstLine="0" w:firstLineChars="0"/>
              <w:rPr>
                <w:rFonts w:ascii="宋体" w:hAnsi="宋体" w:eastAsia="宋体" w:cs="宋体"/>
              </w:rPr>
            </w:pPr>
            <w:r>
              <w:rPr>
                <w:rFonts w:hint="eastAsia" w:ascii="宋体" w:hAnsi="宋体" w:eastAsia="宋体" w:cs="宋体"/>
              </w:rPr>
              <w:t>2</w:t>
            </w:r>
          </w:p>
        </w:tc>
      </w:tr>
      <w:tr w14:paraId="50362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5" w:hRule="atLeast"/>
          <w:jc w:val="center"/>
        </w:trPr>
        <w:tc>
          <w:tcPr>
            <w:tcW w:w="733" w:type="dxa"/>
            <w:vMerge w:val="continue"/>
            <w:tcBorders>
              <w:left w:val="single" w:color="000000" w:sz="4" w:space="0"/>
              <w:right w:val="single" w:color="000000" w:sz="4" w:space="0"/>
            </w:tcBorders>
            <w:vAlign w:val="center"/>
          </w:tcPr>
          <w:p w14:paraId="2C38FB8C">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47C6D6CF">
            <w:pPr>
              <w:spacing w:line="68" w:lineRule="atLeast"/>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5A669F11">
            <w:pPr>
              <w:spacing w:line="68" w:lineRule="atLeast"/>
              <w:ind w:firstLine="0" w:firstLineChars="0"/>
              <w:rPr>
                <w:rFonts w:ascii="宋体" w:hAnsi="宋体" w:eastAsia="宋体" w:cs="宋体"/>
              </w:rPr>
            </w:pPr>
            <w:r>
              <w:rPr>
                <w:rFonts w:hint="eastAsia" w:ascii="宋体" w:hAnsi="宋体" w:eastAsia="宋体" w:cs="宋体"/>
              </w:rPr>
              <w:t>资金使用合规性</w:t>
            </w:r>
          </w:p>
          <w:p w14:paraId="714211EF">
            <w:pPr>
              <w:spacing w:line="68" w:lineRule="atLeast"/>
              <w:ind w:firstLine="0" w:firstLineChars="0"/>
              <w:rPr>
                <w:rFonts w:ascii="宋体" w:hAnsi="宋体" w:eastAsia="宋体" w:cs="宋体"/>
              </w:rPr>
            </w:pPr>
            <w:r>
              <w:rPr>
                <w:rFonts w:hint="eastAsia" w:ascii="宋体" w:hAnsi="宋体" w:eastAsia="宋体" w:cs="宋体"/>
              </w:rPr>
              <w:t>（9分）</w:t>
            </w:r>
          </w:p>
        </w:tc>
        <w:tc>
          <w:tcPr>
            <w:tcW w:w="6911" w:type="dxa"/>
            <w:tcBorders>
              <w:top w:val="single" w:color="000000" w:sz="4" w:space="0"/>
              <w:left w:val="single" w:color="auto" w:sz="4" w:space="0"/>
              <w:bottom w:val="single" w:color="000000" w:sz="4" w:space="0"/>
              <w:right w:val="single" w:color="auto" w:sz="4" w:space="0"/>
            </w:tcBorders>
            <w:vAlign w:val="center"/>
          </w:tcPr>
          <w:p w14:paraId="01D879E5">
            <w:pPr>
              <w:spacing w:line="240" w:lineRule="exact"/>
              <w:ind w:firstLine="0" w:firstLineChars="0"/>
              <w:rPr>
                <w:rFonts w:ascii="宋体" w:hAnsi="宋体" w:eastAsia="宋体" w:cs="宋体"/>
              </w:rPr>
            </w:pPr>
            <w:r>
              <w:rPr>
                <w:rFonts w:hint="eastAsia" w:ascii="宋体" w:hAnsi="宋体" w:eastAsia="宋体" w:cs="宋体"/>
              </w:rPr>
              <w:t>部门使用预算资金是否符合相关的预算财务管理制度的规定，反映和评价部门预算资金的规范运行情况。</w:t>
            </w:r>
          </w:p>
          <w:p w14:paraId="7B5AEF07">
            <w:pPr>
              <w:spacing w:line="240" w:lineRule="exact"/>
              <w:ind w:firstLine="0" w:firstLineChars="0"/>
              <w:rPr>
                <w:rFonts w:ascii="宋体" w:hAnsi="宋体" w:eastAsia="宋体" w:cs="宋体"/>
              </w:rPr>
            </w:pPr>
            <w:r>
              <w:rPr>
                <w:rFonts w:hint="eastAsia" w:ascii="宋体" w:hAnsi="宋体" w:eastAsia="宋体" w:cs="宋体"/>
              </w:rPr>
              <w:t>评价要点：</w:t>
            </w:r>
          </w:p>
          <w:p w14:paraId="118E86A3">
            <w:pPr>
              <w:spacing w:line="240" w:lineRule="exact"/>
              <w:ind w:firstLine="0" w:firstLineChars="0"/>
              <w:rPr>
                <w:rFonts w:ascii="宋体" w:hAnsi="宋体" w:eastAsia="宋体" w:cs="宋体"/>
              </w:rPr>
            </w:pPr>
            <w:r>
              <w:rPr>
                <w:rFonts w:hint="eastAsia" w:ascii="宋体" w:hAnsi="宋体" w:eastAsia="宋体" w:cs="宋体"/>
              </w:rPr>
              <w:t>1.符合国家财经法规和财务管理制度规定以及有关部门资金管理办法的规定；</w:t>
            </w:r>
          </w:p>
          <w:p w14:paraId="5B3E8190">
            <w:pPr>
              <w:spacing w:line="240" w:lineRule="exact"/>
              <w:ind w:firstLine="0" w:firstLineChars="0"/>
              <w:rPr>
                <w:rFonts w:ascii="宋体" w:hAnsi="宋体" w:eastAsia="宋体" w:cs="宋体"/>
              </w:rPr>
            </w:pPr>
            <w:r>
              <w:rPr>
                <w:rFonts w:hint="eastAsia" w:ascii="宋体" w:hAnsi="宋体" w:eastAsia="宋体" w:cs="宋体"/>
              </w:rPr>
              <w:t>2.资金的拨付有完整的审批过程和手续；</w:t>
            </w:r>
          </w:p>
          <w:p w14:paraId="4090D4B3">
            <w:pPr>
              <w:spacing w:line="240" w:lineRule="exact"/>
              <w:ind w:firstLine="0" w:firstLineChars="0"/>
              <w:rPr>
                <w:rFonts w:ascii="宋体" w:hAnsi="宋体" w:eastAsia="宋体" w:cs="宋体"/>
              </w:rPr>
            </w:pPr>
            <w:r>
              <w:rPr>
                <w:rFonts w:hint="eastAsia" w:ascii="宋体" w:hAnsi="宋体" w:eastAsia="宋体" w:cs="宋体"/>
              </w:rPr>
              <w:t>3.项目的重大开支经过评估论证；</w:t>
            </w:r>
          </w:p>
          <w:p w14:paraId="4CA56748">
            <w:pPr>
              <w:spacing w:line="240" w:lineRule="exact"/>
              <w:ind w:firstLine="0" w:firstLineChars="0"/>
              <w:rPr>
                <w:rFonts w:ascii="宋体" w:hAnsi="宋体" w:eastAsia="宋体" w:cs="宋体"/>
              </w:rPr>
            </w:pPr>
            <w:r>
              <w:rPr>
                <w:rFonts w:hint="eastAsia" w:ascii="宋体" w:hAnsi="宋体" w:eastAsia="宋体" w:cs="宋体"/>
              </w:rPr>
              <w:t>4.符合部门预算批复的用途；</w:t>
            </w:r>
          </w:p>
          <w:p w14:paraId="2F83AB98">
            <w:pPr>
              <w:spacing w:line="240" w:lineRule="exact"/>
              <w:ind w:firstLine="0" w:firstLineChars="0"/>
              <w:rPr>
                <w:rFonts w:ascii="宋体" w:hAnsi="宋体" w:eastAsia="宋体" w:cs="宋体"/>
              </w:rPr>
            </w:pPr>
            <w:r>
              <w:rPr>
                <w:rFonts w:hint="eastAsia" w:ascii="宋体" w:hAnsi="宋体" w:eastAsia="宋体" w:cs="宋体"/>
              </w:rPr>
              <w:t>5.不存在截留情况；6.不存在挤占情况；</w:t>
            </w:r>
          </w:p>
          <w:p w14:paraId="69F32536">
            <w:pPr>
              <w:spacing w:line="240" w:lineRule="exact"/>
              <w:ind w:firstLine="0" w:firstLineChars="0"/>
              <w:rPr>
                <w:rFonts w:ascii="宋体" w:hAnsi="宋体" w:eastAsia="宋体" w:cs="宋体"/>
              </w:rPr>
            </w:pPr>
            <w:r>
              <w:rPr>
                <w:rFonts w:hint="eastAsia" w:ascii="宋体" w:hAnsi="宋体" w:eastAsia="宋体" w:cs="宋体"/>
              </w:rPr>
              <w:t>7.不存在挪用情况；8.不存在虚列支出情况。</w:t>
            </w:r>
          </w:p>
        </w:tc>
        <w:tc>
          <w:tcPr>
            <w:tcW w:w="3423" w:type="dxa"/>
            <w:tcBorders>
              <w:top w:val="single" w:color="000000" w:sz="4" w:space="0"/>
              <w:left w:val="single" w:color="auto" w:sz="4" w:space="0"/>
              <w:bottom w:val="single" w:color="000000" w:sz="4" w:space="0"/>
              <w:right w:val="single" w:color="auto" w:sz="4" w:space="0"/>
            </w:tcBorders>
            <w:vAlign w:val="center"/>
          </w:tcPr>
          <w:p w14:paraId="2CF2D4E1">
            <w:pPr>
              <w:spacing w:line="240" w:lineRule="exact"/>
              <w:ind w:firstLine="0" w:firstLineChars="0"/>
              <w:rPr>
                <w:rFonts w:ascii="宋体" w:hAnsi="宋体" w:eastAsia="宋体" w:cs="宋体"/>
              </w:rPr>
            </w:pPr>
            <w:r>
              <w:rPr>
                <w:rFonts w:hint="eastAsia" w:ascii="宋体" w:hAnsi="宋体" w:eastAsia="宋体" w:cs="宋体"/>
              </w:rPr>
              <w:t>全部符合（9分）；</w:t>
            </w:r>
          </w:p>
          <w:p w14:paraId="780FD018">
            <w:pPr>
              <w:spacing w:line="240" w:lineRule="exact"/>
              <w:ind w:firstLine="0" w:firstLineChars="0"/>
              <w:rPr>
                <w:rFonts w:ascii="宋体" w:hAnsi="宋体" w:eastAsia="宋体" w:cs="宋体"/>
              </w:rPr>
            </w:pPr>
            <w:r>
              <w:rPr>
                <w:rFonts w:hint="eastAsia" w:ascii="宋体" w:hAnsi="宋体" w:eastAsia="宋体" w:cs="宋体"/>
              </w:rPr>
              <w:t>符合其中七项（8分）；</w:t>
            </w:r>
          </w:p>
          <w:p w14:paraId="06FF837D">
            <w:pPr>
              <w:spacing w:line="240" w:lineRule="exact"/>
              <w:ind w:firstLine="0" w:firstLineChars="0"/>
              <w:rPr>
                <w:rFonts w:ascii="宋体" w:hAnsi="宋体" w:eastAsia="宋体" w:cs="宋体"/>
              </w:rPr>
            </w:pPr>
            <w:r>
              <w:rPr>
                <w:rFonts w:hint="eastAsia" w:ascii="宋体" w:hAnsi="宋体" w:eastAsia="宋体" w:cs="宋体"/>
              </w:rPr>
              <w:t>符合其中六项（5分）；</w:t>
            </w:r>
          </w:p>
          <w:p w14:paraId="0B53484D">
            <w:pPr>
              <w:spacing w:line="240" w:lineRule="exact"/>
              <w:ind w:firstLine="0" w:firstLineChars="0"/>
              <w:rPr>
                <w:rFonts w:ascii="宋体" w:hAnsi="宋体" w:eastAsia="宋体" w:cs="宋体"/>
              </w:rPr>
            </w:pPr>
            <w:r>
              <w:rPr>
                <w:rFonts w:hint="eastAsia" w:ascii="宋体" w:hAnsi="宋体" w:eastAsia="宋体" w:cs="宋体"/>
              </w:rPr>
              <w:t>符合其中五项（3分）；</w:t>
            </w:r>
          </w:p>
          <w:p w14:paraId="1D65E65E">
            <w:pPr>
              <w:spacing w:line="68" w:lineRule="atLeast"/>
              <w:ind w:firstLine="0" w:firstLineChars="0"/>
              <w:rPr>
                <w:rFonts w:ascii="宋体" w:hAnsi="宋体" w:eastAsia="宋体" w:cs="宋体"/>
              </w:rPr>
            </w:pPr>
            <w:r>
              <w:rPr>
                <w:rFonts w:hint="eastAsia" w:ascii="宋体" w:hAnsi="宋体" w:eastAsia="宋体" w:cs="宋体"/>
              </w:rPr>
              <w:t>符合其中四项及以下（0分）。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069695BA">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9</w:t>
            </w:r>
          </w:p>
        </w:tc>
      </w:tr>
      <w:tr w14:paraId="13F84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3" w:hRule="atLeast"/>
          <w:jc w:val="center"/>
        </w:trPr>
        <w:tc>
          <w:tcPr>
            <w:tcW w:w="733" w:type="dxa"/>
            <w:vMerge w:val="continue"/>
            <w:tcBorders>
              <w:left w:val="single" w:color="000000" w:sz="4" w:space="0"/>
              <w:right w:val="single" w:color="000000" w:sz="4" w:space="0"/>
            </w:tcBorders>
            <w:vAlign w:val="center"/>
          </w:tcPr>
          <w:p w14:paraId="0F7675BC">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13410F9F">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183FD98A">
            <w:pPr>
              <w:spacing w:line="68" w:lineRule="atLeast"/>
              <w:ind w:firstLine="0" w:firstLineChars="0"/>
              <w:rPr>
                <w:rFonts w:ascii="宋体" w:hAnsi="宋体" w:eastAsia="宋体" w:cs="宋体"/>
              </w:rPr>
            </w:pPr>
            <w:r>
              <w:rPr>
                <w:rFonts w:hint="eastAsia" w:ascii="宋体" w:hAnsi="宋体" w:eastAsia="宋体" w:cs="宋体"/>
              </w:rPr>
              <w:t>预决算信息公开性（3分）</w:t>
            </w:r>
          </w:p>
        </w:tc>
        <w:tc>
          <w:tcPr>
            <w:tcW w:w="6911" w:type="dxa"/>
            <w:tcBorders>
              <w:top w:val="single" w:color="000000" w:sz="4" w:space="0"/>
              <w:left w:val="single" w:color="auto" w:sz="4" w:space="0"/>
              <w:bottom w:val="single" w:color="000000" w:sz="4" w:space="0"/>
              <w:right w:val="single" w:color="auto" w:sz="4" w:space="0"/>
            </w:tcBorders>
            <w:vAlign w:val="center"/>
          </w:tcPr>
          <w:p w14:paraId="12B4C7B4">
            <w:pPr>
              <w:spacing w:line="240" w:lineRule="exact"/>
              <w:ind w:firstLine="0" w:firstLineChars="0"/>
              <w:rPr>
                <w:rFonts w:ascii="宋体" w:hAnsi="宋体" w:eastAsia="宋体" w:cs="宋体"/>
              </w:rPr>
            </w:pPr>
            <w:r>
              <w:rPr>
                <w:rFonts w:hint="eastAsia" w:ascii="宋体" w:hAnsi="宋体" w:eastAsia="宋体" w:cs="宋体"/>
              </w:rPr>
              <w:t>部门是否按照政府信息公开有关规定公开相关预决算信息，用以反映和评价部门预决算管理的公开透明情况。</w:t>
            </w:r>
          </w:p>
          <w:p w14:paraId="1FBE638F">
            <w:pPr>
              <w:spacing w:line="240" w:lineRule="exact"/>
              <w:ind w:firstLine="0" w:firstLineChars="0"/>
              <w:rPr>
                <w:rFonts w:ascii="宋体" w:hAnsi="宋体" w:eastAsia="宋体" w:cs="宋体"/>
              </w:rPr>
            </w:pPr>
            <w:r>
              <w:rPr>
                <w:rFonts w:hint="eastAsia" w:ascii="宋体" w:hAnsi="宋体" w:eastAsia="宋体" w:cs="宋体"/>
              </w:rPr>
              <w:t>预决算信息是指与部门预算、执行、决算、监督、绩效等管理相关的信息。</w:t>
            </w:r>
          </w:p>
          <w:p w14:paraId="396D44B4">
            <w:pPr>
              <w:spacing w:line="240" w:lineRule="exact"/>
              <w:ind w:firstLine="0" w:firstLineChars="0"/>
              <w:rPr>
                <w:rFonts w:ascii="宋体" w:hAnsi="宋体" w:eastAsia="宋体" w:cs="宋体"/>
              </w:rPr>
            </w:pPr>
            <w:r>
              <w:rPr>
                <w:rFonts w:hint="eastAsia" w:ascii="宋体" w:hAnsi="宋体" w:eastAsia="宋体" w:cs="宋体"/>
              </w:rPr>
              <w:t>评价要点：</w:t>
            </w:r>
          </w:p>
          <w:p w14:paraId="5B45059E">
            <w:pPr>
              <w:spacing w:line="240" w:lineRule="exact"/>
              <w:ind w:firstLine="0" w:firstLineChars="0"/>
              <w:rPr>
                <w:rFonts w:ascii="宋体" w:hAnsi="宋体" w:eastAsia="宋体" w:cs="宋体"/>
              </w:rPr>
            </w:pPr>
            <w:r>
              <w:rPr>
                <w:rFonts w:hint="eastAsia" w:ascii="宋体" w:hAnsi="宋体" w:eastAsia="宋体" w:cs="宋体"/>
              </w:rPr>
              <w:t>1.公开预决算信息；</w:t>
            </w:r>
          </w:p>
          <w:p w14:paraId="2DE9A4F0">
            <w:pPr>
              <w:spacing w:line="240" w:lineRule="exact"/>
              <w:ind w:firstLine="0" w:firstLineChars="0"/>
              <w:rPr>
                <w:rFonts w:ascii="宋体" w:hAnsi="宋体" w:eastAsia="宋体" w:cs="宋体"/>
              </w:rPr>
            </w:pPr>
            <w:r>
              <w:rPr>
                <w:rFonts w:hint="eastAsia" w:ascii="宋体" w:hAnsi="宋体" w:eastAsia="宋体" w:cs="宋体"/>
              </w:rPr>
              <w:t>2.按规定内容公开预决算信息；</w:t>
            </w:r>
          </w:p>
          <w:p w14:paraId="1B48477A">
            <w:pPr>
              <w:spacing w:line="68" w:lineRule="atLeast"/>
              <w:ind w:firstLine="0" w:firstLineChars="0"/>
              <w:rPr>
                <w:rFonts w:ascii="宋体" w:hAnsi="宋体" w:eastAsia="宋体" w:cs="宋体"/>
              </w:rPr>
            </w:pPr>
            <w:r>
              <w:rPr>
                <w:rFonts w:hint="eastAsia" w:ascii="宋体" w:hAnsi="宋体" w:eastAsia="宋体" w:cs="宋体"/>
              </w:rPr>
              <w:t>3.按规定时限公开预决算信息。</w:t>
            </w:r>
          </w:p>
        </w:tc>
        <w:tc>
          <w:tcPr>
            <w:tcW w:w="3423" w:type="dxa"/>
            <w:tcBorders>
              <w:top w:val="single" w:color="000000" w:sz="4" w:space="0"/>
              <w:left w:val="single" w:color="auto" w:sz="4" w:space="0"/>
              <w:bottom w:val="single" w:color="000000" w:sz="4" w:space="0"/>
              <w:right w:val="single" w:color="auto" w:sz="4" w:space="0"/>
            </w:tcBorders>
            <w:vAlign w:val="center"/>
          </w:tcPr>
          <w:p w14:paraId="00C79858">
            <w:pPr>
              <w:spacing w:line="240" w:lineRule="exact"/>
              <w:ind w:firstLine="0" w:firstLineChars="0"/>
              <w:rPr>
                <w:rFonts w:ascii="宋体" w:hAnsi="宋体" w:eastAsia="宋体" w:cs="宋体"/>
              </w:rPr>
            </w:pPr>
            <w:r>
              <w:rPr>
                <w:rFonts w:hint="eastAsia" w:ascii="宋体" w:hAnsi="宋体" w:eastAsia="宋体" w:cs="宋体"/>
              </w:rPr>
              <w:t>全部符合（3分）；</w:t>
            </w:r>
          </w:p>
          <w:p w14:paraId="5947DE76">
            <w:pPr>
              <w:spacing w:line="240" w:lineRule="exact"/>
              <w:ind w:firstLine="0" w:firstLineChars="0"/>
              <w:rPr>
                <w:rFonts w:ascii="宋体" w:hAnsi="宋体" w:eastAsia="宋体" w:cs="宋体"/>
              </w:rPr>
            </w:pPr>
            <w:r>
              <w:rPr>
                <w:rFonts w:hint="eastAsia" w:ascii="宋体" w:hAnsi="宋体" w:eastAsia="宋体" w:cs="宋体"/>
              </w:rPr>
              <w:t>符合其中两项（2分）</w:t>
            </w:r>
          </w:p>
          <w:p w14:paraId="7EDBF9A7">
            <w:pPr>
              <w:spacing w:line="68" w:lineRule="atLeast"/>
              <w:ind w:firstLine="0" w:firstLineChars="0"/>
              <w:rPr>
                <w:rFonts w:ascii="宋体" w:hAnsi="宋体" w:eastAsia="宋体" w:cs="宋体"/>
              </w:rPr>
            </w:pPr>
            <w:r>
              <w:rPr>
                <w:rFonts w:hint="eastAsia" w:ascii="宋体" w:hAnsi="宋体" w:eastAsia="宋体" w:cs="宋体"/>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64323569">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3</w:t>
            </w:r>
          </w:p>
        </w:tc>
      </w:tr>
      <w:tr w14:paraId="2D6C3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4" w:hRule="atLeast"/>
          <w:jc w:val="center"/>
        </w:trPr>
        <w:tc>
          <w:tcPr>
            <w:tcW w:w="733" w:type="dxa"/>
            <w:vMerge w:val="continue"/>
            <w:tcBorders>
              <w:left w:val="single" w:color="000000" w:sz="4" w:space="0"/>
              <w:right w:val="single" w:color="000000" w:sz="4" w:space="0"/>
            </w:tcBorders>
            <w:vAlign w:val="center"/>
          </w:tcPr>
          <w:p w14:paraId="4C8FF6A4">
            <w:pPr>
              <w:ind w:firstLine="0" w:firstLineChars="0"/>
              <w:rPr>
                <w:rFonts w:ascii="宋体" w:hAnsi="宋体" w:eastAsia="宋体" w:cs="宋体"/>
              </w:rPr>
            </w:pPr>
          </w:p>
        </w:tc>
        <w:tc>
          <w:tcPr>
            <w:tcW w:w="803" w:type="dxa"/>
            <w:vMerge w:val="continue"/>
            <w:tcBorders>
              <w:left w:val="single" w:color="000000" w:sz="4" w:space="0"/>
              <w:bottom w:val="single" w:color="000000" w:sz="4" w:space="0"/>
              <w:right w:val="single" w:color="000000" w:sz="4" w:space="0"/>
            </w:tcBorders>
            <w:vAlign w:val="center"/>
          </w:tcPr>
          <w:p w14:paraId="0A7E657B">
            <w:pPr>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6A6E5F3A">
            <w:pPr>
              <w:spacing w:line="68" w:lineRule="atLeast"/>
              <w:ind w:firstLine="0" w:firstLineChars="0"/>
              <w:rPr>
                <w:rFonts w:ascii="宋体" w:hAnsi="宋体" w:eastAsia="宋体" w:cs="宋体"/>
                <w:color w:val="000000"/>
              </w:rPr>
            </w:pPr>
            <w:r>
              <w:rPr>
                <w:rFonts w:hint="eastAsia" w:ascii="宋体" w:hAnsi="宋体" w:eastAsia="宋体" w:cs="宋体"/>
                <w:color w:val="000000"/>
              </w:rPr>
              <w:t>基础信息完善性</w:t>
            </w:r>
          </w:p>
          <w:p w14:paraId="2F3D1219">
            <w:pPr>
              <w:spacing w:line="68" w:lineRule="atLeast"/>
              <w:ind w:firstLine="0" w:firstLineChars="0"/>
              <w:rPr>
                <w:rFonts w:ascii="宋体" w:hAnsi="宋体" w:eastAsia="宋体" w:cs="宋体"/>
              </w:rPr>
            </w:pPr>
            <w:r>
              <w:rPr>
                <w:rFonts w:hint="eastAsia" w:ascii="宋体" w:hAnsi="宋体" w:eastAsia="宋体" w:cs="宋体"/>
              </w:rPr>
              <w:t>（4分）</w:t>
            </w:r>
          </w:p>
        </w:tc>
        <w:tc>
          <w:tcPr>
            <w:tcW w:w="6911" w:type="dxa"/>
            <w:tcBorders>
              <w:top w:val="single" w:color="000000" w:sz="4" w:space="0"/>
              <w:left w:val="single" w:color="auto" w:sz="4" w:space="0"/>
              <w:bottom w:val="single" w:color="000000" w:sz="4" w:space="0"/>
              <w:right w:val="single" w:color="auto" w:sz="4" w:space="0"/>
            </w:tcBorders>
            <w:vAlign w:val="center"/>
          </w:tcPr>
          <w:p w14:paraId="0736D71D">
            <w:pPr>
              <w:spacing w:line="240" w:lineRule="exact"/>
              <w:ind w:firstLine="0" w:firstLineChars="0"/>
              <w:rPr>
                <w:rFonts w:ascii="宋体" w:hAnsi="宋体" w:eastAsia="宋体" w:cs="宋体"/>
              </w:rPr>
            </w:pPr>
            <w:r>
              <w:rPr>
                <w:rFonts w:hint="eastAsia" w:ascii="宋体" w:hAnsi="宋体" w:eastAsia="宋体" w:cs="宋体"/>
              </w:rPr>
              <w:t>部门基础信息是否完善，用以反映和评价基础信息对预算管理工作的支撑情况。</w:t>
            </w:r>
          </w:p>
          <w:p w14:paraId="61DE362B">
            <w:pPr>
              <w:spacing w:line="240" w:lineRule="exact"/>
              <w:ind w:firstLine="0" w:firstLineChars="0"/>
              <w:rPr>
                <w:rFonts w:ascii="宋体" w:hAnsi="宋体" w:eastAsia="宋体" w:cs="宋体"/>
              </w:rPr>
            </w:pPr>
            <w:r>
              <w:rPr>
                <w:rFonts w:hint="eastAsia" w:ascii="宋体" w:hAnsi="宋体" w:eastAsia="宋体" w:cs="宋体"/>
              </w:rPr>
              <w:t>评价要点：</w:t>
            </w:r>
          </w:p>
          <w:p w14:paraId="2A6954A4">
            <w:pPr>
              <w:spacing w:line="240" w:lineRule="exact"/>
              <w:ind w:firstLine="0" w:firstLineChars="0"/>
              <w:rPr>
                <w:rFonts w:ascii="宋体" w:hAnsi="宋体" w:eastAsia="宋体" w:cs="宋体"/>
              </w:rPr>
            </w:pPr>
            <w:r>
              <w:rPr>
                <w:rFonts w:hint="eastAsia" w:ascii="宋体" w:hAnsi="宋体" w:eastAsia="宋体" w:cs="宋体"/>
              </w:rPr>
              <w:t>1.基本财务管理制度健全；</w:t>
            </w:r>
          </w:p>
          <w:p w14:paraId="4A92332A">
            <w:pPr>
              <w:spacing w:line="240" w:lineRule="exact"/>
              <w:ind w:firstLine="0" w:firstLineChars="0"/>
              <w:rPr>
                <w:rFonts w:ascii="宋体" w:hAnsi="宋体" w:eastAsia="宋体" w:cs="宋体"/>
              </w:rPr>
            </w:pPr>
            <w:r>
              <w:rPr>
                <w:rFonts w:hint="eastAsia" w:ascii="宋体" w:hAnsi="宋体" w:eastAsia="宋体" w:cs="宋体"/>
              </w:rPr>
              <w:t>2.基础数据信息和会计信息资料真实；</w:t>
            </w:r>
          </w:p>
          <w:p w14:paraId="5F8A40B4">
            <w:pPr>
              <w:spacing w:line="240" w:lineRule="exact"/>
              <w:ind w:firstLine="0" w:firstLineChars="0"/>
              <w:rPr>
                <w:rFonts w:ascii="宋体" w:hAnsi="宋体" w:eastAsia="宋体" w:cs="宋体"/>
              </w:rPr>
            </w:pPr>
            <w:r>
              <w:rPr>
                <w:rFonts w:hint="eastAsia" w:ascii="宋体" w:hAnsi="宋体" w:eastAsia="宋体" w:cs="宋体"/>
              </w:rPr>
              <w:t>3.基础数据信息和会计信息资料完整；</w:t>
            </w:r>
          </w:p>
          <w:p w14:paraId="01F52E71">
            <w:pPr>
              <w:spacing w:line="68" w:lineRule="atLeast"/>
              <w:ind w:firstLine="0" w:firstLineChars="0"/>
              <w:rPr>
                <w:rFonts w:ascii="宋体" w:hAnsi="宋体" w:eastAsia="宋体" w:cs="宋体"/>
              </w:rPr>
            </w:pPr>
            <w:r>
              <w:rPr>
                <w:rFonts w:hint="eastAsia" w:ascii="宋体" w:hAnsi="宋体" w:eastAsia="宋体" w:cs="宋体"/>
              </w:rPr>
              <w:t>4.基础数据信息和会计信息资料准确。</w:t>
            </w:r>
          </w:p>
        </w:tc>
        <w:tc>
          <w:tcPr>
            <w:tcW w:w="3423" w:type="dxa"/>
            <w:tcBorders>
              <w:top w:val="single" w:color="000000" w:sz="4" w:space="0"/>
              <w:left w:val="single" w:color="auto" w:sz="4" w:space="0"/>
              <w:bottom w:val="single" w:color="000000" w:sz="4" w:space="0"/>
              <w:right w:val="single" w:color="auto" w:sz="4" w:space="0"/>
            </w:tcBorders>
            <w:vAlign w:val="center"/>
          </w:tcPr>
          <w:p w14:paraId="163E9C1C">
            <w:pPr>
              <w:spacing w:line="240" w:lineRule="exact"/>
              <w:ind w:firstLine="0" w:firstLineChars="0"/>
              <w:rPr>
                <w:rFonts w:ascii="宋体" w:hAnsi="宋体" w:eastAsia="宋体" w:cs="宋体"/>
              </w:rPr>
            </w:pPr>
            <w:r>
              <w:rPr>
                <w:rFonts w:hint="eastAsia" w:ascii="宋体" w:hAnsi="宋体" w:eastAsia="宋体" w:cs="宋体"/>
              </w:rPr>
              <w:t>符合全部四项（4分）；</w:t>
            </w:r>
          </w:p>
          <w:p w14:paraId="22F10D4B">
            <w:pPr>
              <w:spacing w:line="240" w:lineRule="exact"/>
              <w:ind w:firstLine="0" w:firstLineChars="0"/>
              <w:rPr>
                <w:rFonts w:ascii="宋体" w:hAnsi="宋体" w:eastAsia="宋体" w:cs="宋体"/>
              </w:rPr>
            </w:pPr>
            <w:r>
              <w:rPr>
                <w:rFonts w:hint="eastAsia" w:ascii="宋体" w:hAnsi="宋体" w:eastAsia="宋体" w:cs="宋体"/>
              </w:rPr>
              <w:t>符合其中三项（2分）；</w:t>
            </w:r>
          </w:p>
          <w:p w14:paraId="64A762AD">
            <w:pPr>
              <w:spacing w:line="240" w:lineRule="exact"/>
              <w:ind w:firstLine="0" w:firstLineChars="0"/>
              <w:rPr>
                <w:rFonts w:ascii="宋体" w:hAnsi="宋体" w:eastAsia="宋体" w:cs="宋体"/>
              </w:rPr>
            </w:pPr>
            <w:r>
              <w:rPr>
                <w:rFonts w:hint="eastAsia" w:ascii="宋体" w:hAnsi="宋体" w:eastAsia="宋体" w:cs="宋体"/>
              </w:rPr>
              <w:t>符合其中两项（1分）；</w:t>
            </w:r>
          </w:p>
          <w:p w14:paraId="26BF67E3">
            <w:pPr>
              <w:spacing w:line="68" w:lineRule="atLeast"/>
              <w:ind w:firstLine="0" w:firstLineChars="0"/>
              <w:rPr>
                <w:rFonts w:ascii="宋体" w:hAnsi="宋体" w:eastAsia="宋体" w:cs="宋体"/>
              </w:rPr>
            </w:pPr>
            <w:r>
              <w:rPr>
                <w:rFonts w:hint="eastAsia" w:ascii="宋体" w:hAnsi="宋体" w:eastAsia="宋体" w:cs="宋体"/>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4F7F4762">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4</w:t>
            </w:r>
          </w:p>
        </w:tc>
      </w:tr>
      <w:tr w14:paraId="4BB9B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5" w:hRule="atLeast"/>
          <w:jc w:val="center"/>
        </w:trPr>
        <w:tc>
          <w:tcPr>
            <w:tcW w:w="733" w:type="dxa"/>
            <w:vMerge w:val="continue"/>
            <w:tcBorders>
              <w:left w:val="single" w:color="000000" w:sz="4" w:space="0"/>
              <w:right w:val="single" w:color="000000" w:sz="4" w:space="0"/>
            </w:tcBorders>
            <w:vAlign w:val="center"/>
          </w:tcPr>
          <w:p w14:paraId="6DC003F0">
            <w:pPr>
              <w:ind w:firstLine="0" w:firstLineChars="0"/>
              <w:rPr>
                <w:rFonts w:ascii="宋体" w:hAnsi="宋体" w:eastAsia="宋体" w:cs="宋体"/>
              </w:rPr>
            </w:pPr>
          </w:p>
        </w:tc>
        <w:tc>
          <w:tcPr>
            <w:tcW w:w="803" w:type="dxa"/>
            <w:vMerge w:val="restart"/>
            <w:tcBorders>
              <w:left w:val="single" w:color="000000" w:sz="4" w:space="0"/>
              <w:right w:val="single" w:color="000000" w:sz="4" w:space="0"/>
            </w:tcBorders>
            <w:vAlign w:val="center"/>
          </w:tcPr>
          <w:p w14:paraId="1BA6F248">
            <w:pPr>
              <w:spacing w:line="68" w:lineRule="atLeast"/>
              <w:ind w:firstLine="0" w:firstLineChars="0"/>
              <w:rPr>
                <w:rFonts w:ascii="宋体" w:hAnsi="宋体" w:eastAsia="宋体" w:cs="宋体"/>
              </w:rPr>
            </w:pPr>
            <w:r>
              <w:rPr>
                <w:rFonts w:hint="eastAsia" w:ascii="宋体" w:hAnsi="宋体" w:eastAsia="宋体" w:cs="宋体"/>
              </w:rPr>
              <w:t>资产管理（8分）</w:t>
            </w:r>
          </w:p>
        </w:tc>
        <w:tc>
          <w:tcPr>
            <w:tcW w:w="1182" w:type="dxa"/>
            <w:tcBorders>
              <w:top w:val="single" w:color="000000" w:sz="4" w:space="0"/>
              <w:left w:val="single" w:color="000000" w:sz="4" w:space="0"/>
              <w:bottom w:val="single" w:color="000000" w:sz="4" w:space="0"/>
              <w:right w:val="single" w:color="auto" w:sz="4" w:space="0"/>
            </w:tcBorders>
            <w:vAlign w:val="center"/>
          </w:tcPr>
          <w:p w14:paraId="237168BB">
            <w:pPr>
              <w:spacing w:line="68" w:lineRule="atLeast"/>
              <w:ind w:firstLine="0" w:firstLineChars="0"/>
              <w:rPr>
                <w:rFonts w:ascii="宋体" w:hAnsi="宋体" w:eastAsia="宋体" w:cs="宋体"/>
                <w:color w:val="000000"/>
              </w:rPr>
            </w:pPr>
            <w:r>
              <w:rPr>
                <w:rFonts w:hint="eastAsia" w:ascii="宋体" w:hAnsi="宋体" w:eastAsia="宋体" w:cs="宋体"/>
                <w:color w:val="000000"/>
              </w:rPr>
              <w:t>管理制度健全性</w:t>
            </w:r>
          </w:p>
          <w:p w14:paraId="61639417">
            <w:pPr>
              <w:spacing w:line="68" w:lineRule="atLeast"/>
              <w:ind w:firstLine="0" w:firstLineChars="0"/>
              <w:rPr>
                <w:rFonts w:ascii="宋体" w:hAnsi="宋体" w:eastAsia="宋体" w:cs="宋体"/>
                <w:color w:val="000000"/>
              </w:rPr>
            </w:pPr>
            <w:r>
              <w:rPr>
                <w:rFonts w:hint="eastAsia" w:ascii="宋体" w:hAnsi="宋体" w:eastAsia="宋体" w:cs="宋体"/>
                <w:color w:val="000000"/>
              </w:rPr>
              <w:t>（2分）</w:t>
            </w:r>
          </w:p>
        </w:tc>
        <w:tc>
          <w:tcPr>
            <w:tcW w:w="6911" w:type="dxa"/>
            <w:tcBorders>
              <w:top w:val="single" w:color="000000" w:sz="4" w:space="0"/>
              <w:left w:val="single" w:color="auto" w:sz="4" w:space="0"/>
              <w:bottom w:val="single" w:color="000000" w:sz="4" w:space="0"/>
              <w:right w:val="single" w:color="auto" w:sz="4" w:space="0"/>
            </w:tcBorders>
            <w:vAlign w:val="center"/>
          </w:tcPr>
          <w:p w14:paraId="1218F2CB">
            <w:pPr>
              <w:spacing w:line="240" w:lineRule="exact"/>
              <w:ind w:firstLine="0" w:firstLineChars="0"/>
              <w:rPr>
                <w:rFonts w:ascii="宋体" w:hAnsi="宋体" w:eastAsia="宋体" w:cs="宋体"/>
              </w:rPr>
            </w:pPr>
            <w:r>
              <w:rPr>
                <w:rFonts w:hint="eastAsia" w:ascii="宋体" w:hAnsi="宋体" w:eastAsia="宋体" w:cs="宋体"/>
              </w:rPr>
              <w:t>部门为加强资产管理、规范资产管理行为而制定的管理制度是否健全完整，用以反映和考核部门资产管理制度对完成主要职责或促进社会发展的保障情况。</w:t>
            </w:r>
          </w:p>
          <w:p w14:paraId="446CF07E">
            <w:pPr>
              <w:spacing w:line="240" w:lineRule="exact"/>
              <w:ind w:firstLine="0" w:firstLineChars="0"/>
              <w:rPr>
                <w:rFonts w:ascii="宋体" w:hAnsi="宋体" w:eastAsia="宋体" w:cs="宋体"/>
              </w:rPr>
            </w:pPr>
            <w:r>
              <w:rPr>
                <w:rFonts w:hint="eastAsia" w:ascii="宋体" w:hAnsi="宋体" w:eastAsia="宋体" w:cs="宋体"/>
              </w:rPr>
              <w:t>评价要点：</w:t>
            </w:r>
          </w:p>
          <w:p w14:paraId="2824528B">
            <w:pPr>
              <w:spacing w:line="240" w:lineRule="exact"/>
              <w:ind w:firstLine="0" w:firstLineChars="0"/>
              <w:rPr>
                <w:rFonts w:ascii="宋体" w:hAnsi="宋体" w:eastAsia="宋体" w:cs="宋体"/>
              </w:rPr>
            </w:pPr>
            <w:r>
              <w:rPr>
                <w:rFonts w:hint="eastAsia" w:ascii="宋体" w:hAnsi="宋体" w:eastAsia="宋体" w:cs="宋体"/>
              </w:rPr>
              <w:t>1.是否已制定或具有资产管理制度；</w:t>
            </w:r>
          </w:p>
          <w:p w14:paraId="446413D3">
            <w:pPr>
              <w:spacing w:line="240" w:lineRule="exact"/>
              <w:ind w:firstLine="0" w:firstLineChars="0"/>
              <w:rPr>
                <w:rFonts w:ascii="宋体" w:hAnsi="宋体" w:eastAsia="宋体" w:cs="宋体"/>
              </w:rPr>
            </w:pPr>
            <w:r>
              <w:rPr>
                <w:rFonts w:hint="eastAsia" w:ascii="宋体" w:hAnsi="宋体" w:eastAsia="宋体" w:cs="宋体"/>
              </w:rPr>
              <w:t>2.相关资金管理制度是否合法、合规、完整；</w:t>
            </w:r>
          </w:p>
          <w:p w14:paraId="4C47B8DC">
            <w:pPr>
              <w:spacing w:line="240" w:lineRule="exact"/>
              <w:ind w:firstLine="0" w:firstLineChars="0"/>
              <w:rPr>
                <w:rFonts w:ascii="宋体" w:hAnsi="宋体" w:eastAsia="宋体" w:cs="宋体"/>
              </w:rPr>
            </w:pPr>
            <w:r>
              <w:rPr>
                <w:rFonts w:hint="eastAsia" w:ascii="宋体" w:hAnsi="宋体" w:eastAsia="宋体" w:cs="宋体"/>
              </w:rPr>
              <w:t>3.相关资产管理制度是否得到有效执行。</w:t>
            </w:r>
          </w:p>
        </w:tc>
        <w:tc>
          <w:tcPr>
            <w:tcW w:w="3423" w:type="dxa"/>
            <w:tcBorders>
              <w:top w:val="single" w:color="000000" w:sz="4" w:space="0"/>
              <w:left w:val="single" w:color="auto" w:sz="4" w:space="0"/>
              <w:bottom w:val="single" w:color="000000" w:sz="4" w:space="0"/>
              <w:right w:val="single" w:color="auto" w:sz="4" w:space="0"/>
            </w:tcBorders>
            <w:vAlign w:val="center"/>
          </w:tcPr>
          <w:p w14:paraId="58818C28">
            <w:pPr>
              <w:spacing w:line="240" w:lineRule="exact"/>
              <w:ind w:firstLine="0" w:firstLineChars="0"/>
              <w:rPr>
                <w:rFonts w:ascii="宋体" w:hAnsi="宋体" w:eastAsia="宋体" w:cs="宋体"/>
              </w:rPr>
            </w:pPr>
            <w:r>
              <w:rPr>
                <w:rFonts w:hint="eastAsia" w:ascii="宋体" w:hAnsi="宋体" w:eastAsia="宋体" w:cs="宋体"/>
              </w:rPr>
              <w:t>全部符合（2分）；</w:t>
            </w:r>
          </w:p>
          <w:p w14:paraId="62135D2D">
            <w:pPr>
              <w:spacing w:line="240" w:lineRule="exact"/>
              <w:ind w:firstLine="0" w:firstLineChars="0"/>
              <w:rPr>
                <w:rFonts w:ascii="宋体" w:hAnsi="宋体" w:eastAsia="宋体" w:cs="宋体"/>
              </w:rPr>
            </w:pPr>
            <w:r>
              <w:rPr>
                <w:rFonts w:hint="eastAsia" w:ascii="宋体" w:hAnsi="宋体" w:eastAsia="宋体" w:cs="宋体"/>
              </w:rPr>
              <w:t>符合其中两项（1分）</w:t>
            </w:r>
          </w:p>
          <w:p w14:paraId="60AD459E">
            <w:pPr>
              <w:spacing w:line="240" w:lineRule="exact"/>
              <w:ind w:firstLine="0" w:firstLineChars="0"/>
              <w:rPr>
                <w:rFonts w:ascii="宋体" w:hAnsi="宋体" w:eastAsia="宋体" w:cs="宋体"/>
              </w:rPr>
            </w:pPr>
            <w:r>
              <w:rPr>
                <w:rFonts w:hint="eastAsia" w:ascii="宋体" w:hAnsi="宋体" w:eastAsia="宋体" w:cs="宋体"/>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017339F4">
            <w:pPr>
              <w:spacing w:line="68" w:lineRule="atLeast"/>
              <w:ind w:firstLine="0" w:firstLineChars="0"/>
              <w:rPr>
                <w:rFonts w:ascii="宋体" w:hAnsi="宋体" w:eastAsia="宋体" w:cs="宋体"/>
              </w:rPr>
            </w:pPr>
            <w:r>
              <w:rPr>
                <w:rFonts w:hint="eastAsia" w:ascii="宋体" w:hAnsi="宋体" w:eastAsia="宋体" w:cs="宋体"/>
              </w:rPr>
              <w:t>2</w:t>
            </w:r>
          </w:p>
        </w:tc>
      </w:tr>
      <w:tr w14:paraId="36E56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6" w:hRule="atLeast"/>
          <w:jc w:val="center"/>
        </w:trPr>
        <w:tc>
          <w:tcPr>
            <w:tcW w:w="733" w:type="dxa"/>
            <w:vMerge w:val="continue"/>
            <w:tcBorders>
              <w:left w:val="single" w:color="000000" w:sz="4" w:space="0"/>
              <w:right w:val="single" w:color="000000" w:sz="4" w:space="0"/>
            </w:tcBorders>
            <w:vAlign w:val="center"/>
          </w:tcPr>
          <w:p w14:paraId="1E8517CD">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6DC6331D">
            <w:pPr>
              <w:spacing w:line="68" w:lineRule="atLeast"/>
              <w:ind w:firstLine="0" w:firstLineChars="0"/>
              <w:rPr>
                <w:rFonts w:ascii="宋体" w:hAnsi="宋体" w:eastAsia="宋体" w:cs="宋体"/>
              </w:rPr>
            </w:pPr>
          </w:p>
        </w:tc>
        <w:tc>
          <w:tcPr>
            <w:tcW w:w="1182" w:type="dxa"/>
            <w:tcBorders>
              <w:top w:val="single" w:color="auto" w:sz="4" w:space="0"/>
              <w:left w:val="single" w:color="000000" w:sz="4" w:space="0"/>
              <w:bottom w:val="single" w:color="000000" w:sz="4" w:space="0"/>
              <w:right w:val="single" w:color="auto" w:sz="4" w:space="0"/>
            </w:tcBorders>
            <w:vAlign w:val="center"/>
          </w:tcPr>
          <w:p w14:paraId="5C5BAC8F">
            <w:pPr>
              <w:spacing w:line="68" w:lineRule="atLeast"/>
              <w:ind w:firstLine="0" w:firstLineChars="0"/>
              <w:rPr>
                <w:rFonts w:ascii="宋体" w:hAnsi="宋体" w:eastAsia="宋体" w:cs="宋体"/>
              </w:rPr>
            </w:pPr>
            <w:r>
              <w:rPr>
                <w:rFonts w:hint="eastAsia" w:ascii="宋体" w:hAnsi="宋体" w:eastAsia="宋体" w:cs="宋体"/>
              </w:rPr>
              <w:t>资产管理完全性</w:t>
            </w:r>
          </w:p>
          <w:p w14:paraId="6E62BB69">
            <w:pPr>
              <w:spacing w:line="68" w:lineRule="atLeast"/>
              <w:ind w:firstLine="0" w:firstLineChars="0"/>
              <w:rPr>
                <w:rFonts w:ascii="宋体" w:hAnsi="宋体" w:eastAsia="宋体" w:cs="宋体"/>
              </w:rPr>
            </w:pPr>
            <w:r>
              <w:rPr>
                <w:rFonts w:hint="eastAsia" w:ascii="宋体" w:hAnsi="宋体" w:eastAsia="宋体" w:cs="宋体"/>
              </w:rPr>
              <w:t>（3分）</w:t>
            </w:r>
          </w:p>
        </w:tc>
        <w:tc>
          <w:tcPr>
            <w:tcW w:w="6911" w:type="dxa"/>
            <w:tcBorders>
              <w:top w:val="single" w:color="auto" w:sz="4" w:space="0"/>
              <w:left w:val="single" w:color="auto" w:sz="4" w:space="0"/>
              <w:bottom w:val="single" w:color="000000" w:sz="4" w:space="0"/>
              <w:right w:val="single" w:color="auto" w:sz="4" w:space="0"/>
            </w:tcBorders>
            <w:vAlign w:val="center"/>
          </w:tcPr>
          <w:p w14:paraId="365A0F16">
            <w:pPr>
              <w:spacing w:line="240" w:lineRule="exact"/>
              <w:ind w:firstLine="0" w:firstLineChars="0"/>
              <w:rPr>
                <w:rFonts w:ascii="宋体" w:hAnsi="宋体" w:eastAsia="宋体" w:cs="宋体"/>
              </w:rPr>
            </w:pPr>
            <w:r>
              <w:rPr>
                <w:rFonts w:hint="eastAsia" w:ascii="宋体" w:hAnsi="宋体" w:eastAsia="宋体" w:cs="宋体"/>
              </w:rPr>
              <w:t>部门的资产是否保存完整、使用合规、收入及时足额上缴，用以反映和评价部门资产运行情况。</w:t>
            </w:r>
          </w:p>
          <w:p w14:paraId="1D8E2960">
            <w:pPr>
              <w:spacing w:line="240" w:lineRule="exact"/>
              <w:ind w:firstLine="0" w:firstLineChars="0"/>
              <w:rPr>
                <w:rFonts w:ascii="宋体" w:hAnsi="宋体" w:eastAsia="宋体" w:cs="宋体"/>
              </w:rPr>
            </w:pPr>
            <w:r>
              <w:rPr>
                <w:rFonts w:hint="eastAsia" w:ascii="宋体" w:hAnsi="宋体" w:eastAsia="宋体" w:cs="宋体"/>
              </w:rPr>
              <w:t>评价要点：</w:t>
            </w:r>
          </w:p>
          <w:p w14:paraId="14CDB4E7">
            <w:pPr>
              <w:spacing w:line="240" w:lineRule="exact"/>
              <w:ind w:firstLine="0" w:firstLineChars="0"/>
              <w:rPr>
                <w:rFonts w:ascii="宋体" w:hAnsi="宋体" w:eastAsia="宋体" w:cs="宋体"/>
              </w:rPr>
            </w:pPr>
            <w:r>
              <w:rPr>
                <w:rFonts w:hint="eastAsia" w:ascii="宋体" w:hAnsi="宋体" w:eastAsia="宋体" w:cs="宋体"/>
              </w:rPr>
              <w:t>1.资产保存完整；</w:t>
            </w:r>
          </w:p>
          <w:p w14:paraId="5762AF4B">
            <w:pPr>
              <w:spacing w:line="240" w:lineRule="exact"/>
              <w:ind w:firstLine="0" w:firstLineChars="0"/>
              <w:rPr>
                <w:rFonts w:ascii="宋体" w:hAnsi="宋体" w:eastAsia="宋体" w:cs="宋体"/>
              </w:rPr>
            </w:pPr>
            <w:r>
              <w:rPr>
                <w:rFonts w:hint="eastAsia" w:ascii="宋体" w:hAnsi="宋体" w:eastAsia="宋体" w:cs="宋体"/>
              </w:rPr>
              <w:t>2.资产账务管理是否合规，帐实相符；</w:t>
            </w:r>
          </w:p>
          <w:p w14:paraId="0B718616">
            <w:pPr>
              <w:spacing w:line="68" w:lineRule="atLeast"/>
              <w:ind w:firstLine="0" w:firstLineChars="0"/>
              <w:rPr>
                <w:rFonts w:ascii="宋体" w:hAnsi="宋体" w:eastAsia="宋体" w:cs="宋体"/>
              </w:rPr>
            </w:pPr>
            <w:r>
              <w:rPr>
                <w:rFonts w:hint="eastAsia" w:ascii="宋体" w:hAnsi="宋体" w:eastAsia="宋体" w:cs="宋体"/>
              </w:rPr>
              <w:t>3.资产有偿使用及处置收入及时足额上缴。</w:t>
            </w:r>
          </w:p>
        </w:tc>
        <w:tc>
          <w:tcPr>
            <w:tcW w:w="3423" w:type="dxa"/>
            <w:tcBorders>
              <w:top w:val="single" w:color="auto" w:sz="4" w:space="0"/>
              <w:left w:val="single" w:color="auto" w:sz="4" w:space="0"/>
              <w:bottom w:val="single" w:color="000000" w:sz="4" w:space="0"/>
              <w:right w:val="single" w:color="auto" w:sz="4" w:space="0"/>
            </w:tcBorders>
            <w:vAlign w:val="center"/>
          </w:tcPr>
          <w:p w14:paraId="30D195E1">
            <w:pPr>
              <w:spacing w:line="240" w:lineRule="exact"/>
              <w:ind w:firstLine="0" w:firstLineChars="0"/>
              <w:rPr>
                <w:rFonts w:ascii="宋体" w:hAnsi="宋体" w:eastAsia="宋体" w:cs="宋体"/>
              </w:rPr>
            </w:pPr>
            <w:r>
              <w:rPr>
                <w:rFonts w:hint="eastAsia" w:ascii="宋体" w:hAnsi="宋体" w:eastAsia="宋体" w:cs="宋体"/>
              </w:rPr>
              <w:t>符合全部三项（3分）；</w:t>
            </w:r>
          </w:p>
          <w:p w14:paraId="2909768E">
            <w:pPr>
              <w:spacing w:line="240" w:lineRule="exact"/>
              <w:ind w:firstLine="0" w:firstLineChars="0"/>
              <w:rPr>
                <w:rFonts w:ascii="宋体" w:hAnsi="宋体" w:eastAsia="宋体" w:cs="宋体"/>
              </w:rPr>
            </w:pPr>
            <w:r>
              <w:rPr>
                <w:rFonts w:hint="eastAsia" w:ascii="宋体" w:hAnsi="宋体" w:eastAsia="宋体" w:cs="宋体"/>
              </w:rPr>
              <w:t>符合其中两项（2分）；</w:t>
            </w:r>
          </w:p>
          <w:p w14:paraId="4B729A8E">
            <w:pPr>
              <w:spacing w:line="240" w:lineRule="exact"/>
              <w:ind w:firstLine="0" w:firstLineChars="0"/>
              <w:rPr>
                <w:rFonts w:ascii="宋体" w:hAnsi="宋体" w:eastAsia="宋体" w:cs="宋体"/>
              </w:rPr>
            </w:pPr>
            <w:r>
              <w:rPr>
                <w:rFonts w:hint="eastAsia" w:ascii="宋体" w:hAnsi="宋体" w:eastAsia="宋体" w:cs="宋体"/>
              </w:rPr>
              <w:t>符合其中一项（1分）；</w:t>
            </w:r>
          </w:p>
          <w:p w14:paraId="4E765619">
            <w:pPr>
              <w:spacing w:line="68" w:lineRule="atLeast"/>
              <w:ind w:firstLine="0" w:firstLineChars="0"/>
              <w:rPr>
                <w:rFonts w:ascii="宋体" w:hAnsi="宋体" w:eastAsia="宋体" w:cs="宋体"/>
              </w:rPr>
            </w:pPr>
            <w:r>
              <w:rPr>
                <w:rFonts w:hint="eastAsia" w:ascii="宋体" w:hAnsi="宋体" w:eastAsia="宋体" w:cs="宋体"/>
              </w:rPr>
              <w:t>符合零项（0分）。</w:t>
            </w:r>
          </w:p>
        </w:tc>
        <w:tc>
          <w:tcPr>
            <w:tcW w:w="1090" w:type="dxa"/>
            <w:tcBorders>
              <w:top w:val="single" w:color="auto" w:sz="4" w:space="0"/>
              <w:left w:val="single" w:color="auto" w:sz="4" w:space="0"/>
              <w:bottom w:val="single" w:color="000000" w:sz="4" w:space="0"/>
              <w:right w:val="single" w:color="000000" w:sz="4" w:space="0"/>
            </w:tcBorders>
            <w:vAlign w:val="center"/>
          </w:tcPr>
          <w:p w14:paraId="0ECC767A">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3</w:t>
            </w:r>
          </w:p>
        </w:tc>
      </w:tr>
      <w:tr w14:paraId="378B9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9" w:hRule="atLeast"/>
          <w:jc w:val="center"/>
        </w:trPr>
        <w:tc>
          <w:tcPr>
            <w:tcW w:w="733" w:type="dxa"/>
            <w:vMerge w:val="continue"/>
            <w:tcBorders>
              <w:left w:val="single" w:color="000000" w:sz="4" w:space="0"/>
              <w:right w:val="single" w:color="000000" w:sz="4" w:space="0"/>
            </w:tcBorders>
            <w:vAlign w:val="center"/>
          </w:tcPr>
          <w:p w14:paraId="0AD7D5D8">
            <w:pPr>
              <w:ind w:firstLine="0" w:firstLineChars="0"/>
              <w:rPr>
                <w:rFonts w:ascii="宋体" w:hAnsi="宋体" w:eastAsia="宋体" w:cs="宋体"/>
              </w:rPr>
            </w:pPr>
          </w:p>
        </w:tc>
        <w:tc>
          <w:tcPr>
            <w:tcW w:w="803" w:type="dxa"/>
            <w:vMerge w:val="continue"/>
            <w:tcBorders>
              <w:left w:val="single" w:color="000000" w:sz="4" w:space="0"/>
              <w:bottom w:val="single" w:color="000000" w:sz="4" w:space="0"/>
              <w:right w:val="single" w:color="000000" w:sz="4" w:space="0"/>
            </w:tcBorders>
            <w:vAlign w:val="center"/>
          </w:tcPr>
          <w:p w14:paraId="2C68DF93">
            <w:pPr>
              <w:ind w:firstLine="0" w:firstLineChars="0"/>
              <w:rPr>
                <w:rFonts w:ascii="宋体" w:hAnsi="宋体" w:eastAsia="宋体" w:cs="宋体"/>
              </w:rPr>
            </w:pPr>
          </w:p>
        </w:tc>
        <w:tc>
          <w:tcPr>
            <w:tcW w:w="1182" w:type="dxa"/>
            <w:tcBorders>
              <w:top w:val="single" w:color="auto" w:sz="4" w:space="0"/>
              <w:left w:val="single" w:color="000000" w:sz="4" w:space="0"/>
              <w:bottom w:val="single" w:color="000000" w:sz="4" w:space="0"/>
              <w:right w:val="single" w:color="auto" w:sz="4" w:space="0"/>
            </w:tcBorders>
            <w:vAlign w:val="center"/>
          </w:tcPr>
          <w:p w14:paraId="0B8DE681">
            <w:pPr>
              <w:spacing w:line="68" w:lineRule="atLeast"/>
              <w:ind w:firstLine="0" w:firstLineChars="0"/>
              <w:rPr>
                <w:rFonts w:ascii="宋体" w:hAnsi="宋体" w:eastAsia="宋体" w:cs="宋体"/>
              </w:rPr>
            </w:pPr>
            <w:r>
              <w:rPr>
                <w:rFonts w:hint="eastAsia" w:ascii="宋体" w:hAnsi="宋体" w:eastAsia="宋体" w:cs="宋体"/>
              </w:rPr>
              <w:t>固定资产利用率</w:t>
            </w:r>
          </w:p>
          <w:p w14:paraId="7A3CE81A">
            <w:pPr>
              <w:spacing w:line="68" w:lineRule="atLeast"/>
              <w:ind w:firstLine="0" w:firstLineChars="0"/>
              <w:rPr>
                <w:rFonts w:ascii="宋体" w:hAnsi="宋体" w:eastAsia="宋体" w:cs="宋体"/>
              </w:rPr>
            </w:pPr>
            <w:r>
              <w:rPr>
                <w:rFonts w:hint="eastAsia" w:ascii="宋体" w:hAnsi="宋体" w:eastAsia="宋体" w:cs="宋体"/>
              </w:rPr>
              <w:t>（3分）</w:t>
            </w:r>
          </w:p>
        </w:tc>
        <w:tc>
          <w:tcPr>
            <w:tcW w:w="6911" w:type="dxa"/>
            <w:tcBorders>
              <w:top w:val="single" w:color="auto" w:sz="4" w:space="0"/>
              <w:left w:val="single" w:color="auto" w:sz="4" w:space="0"/>
              <w:bottom w:val="single" w:color="000000" w:sz="4" w:space="0"/>
              <w:right w:val="single" w:color="auto" w:sz="4" w:space="0"/>
            </w:tcBorders>
            <w:vAlign w:val="center"/>
          </w:tcPr>
          <w:p w14:paraId="2DEAE0CC">
            <w:pPr>
              <w:spacing w:line="240" w:lineRule="exact"/>
              <w:ind w:firstLine="0" w:firstLineChars="0"/>
              <w:rPr>
                <w:rFonts w:ascii="宋体" w:hAnsi="宋体" w:eastAsia="宋体" w:cs="宋体"/>
              </w:rPr>
            </w:pPr>
            <w:r>
              <w:rPr>
                <w:rFonts w:hint="eastAsia" w:ascii="宋体" w:hAnsi="宋体" w:eastAsia="宋体" w:cs="宋体"/>
              </w:rPr>
              <w:t>部门实际在用固定资产总额与所有固定资产总额的比率，用以反映和评价部门固定资产使用效率。</w:t>
            </w:r>
          </w:p>
          <w:p w14:paraId="33B9F12F">
            <w:pPr>
              <w:spacing w:line="68" w:lineRule="atLeast"/>
              <w:ind w:firstLine="0" w:firstLineChars="0"/>
              <w:rPr>
                <w:rFonts w:ascii="宋体" w:hAnsi="宋体" w:eastAsia="宋体" w:cs="宋体"/>
              </w:rPr>
            </w:pPr>
            <w:r>
              <w:rPr>
                <w:rFonts w:hint="eastAsia" w:ascii="宋体" w:hAnsi="宋体" w:eastAsia="宋体" w:cs="宋体"/>
              </w:rPr>
              <w:t>固定资产利用率=（实际在用固定资产总额/所有固定资产总额）×100%。</w:t>
            </w:r>
          </w:p>
        </w:tc>
        <w:tc>
          <w:tcPr>
            <w:tcW w:w="3423" w:type="dxa"/>
            <w:tcBorders>
              <w:top w:val="single" w:color="auto" w:sz="4" w:space="0"/>
              <w:left w:val="single" w:color="auto" w:sz="4" w:space="0"/>
              <w:bottom w:val="single" w:color="000000" w:sz="4" w:space="0"/>
              <w:right w:val="single" w:color="auto" w:sz="4" w:space="0"/>
            </w:tcBorders>
            <w:vAlign w:val="center"/>
          </w:tcPr>
          <w:p w14:paraId="7542E5BD">
            <w:pPr>
              <w:spacing w:line="68" w:lineRule="atLeast"/>
              <w:ind w:firstLine="0" w:firstLineChars="0"/>
              <w:rPr>
                <w:rFonts w:ascii="宋体" w:hAnsi="宋体" w:eastAsia="宋体" w:cs="宋体"/>
              </w:rPr>
            </w:pPr>
            <w:r>
              <w:rPr>
                <w:rFonts w:hint="eastAsia" w:ascii="宋体" w:hAnsi="宋体" w:eastAsia="宋体" w:cs="宋体"/>
              </w:rPr>
              <w:t>目标值为80%；以3分为上限，采用完成比率法计分：得分=固定资产利用率/80%×100%×3，超出目标值不加分。</w:t>
            </w:r>
          </w:p>
        </w:tc>
        <w:tc>
          <w:tcPr>
            <w:tcW w:w="1090" w:type="dxa"/>
            <w:tcBorders>
              <w:top w:val="single" w:color="auto" w:sz="4" w:space="0"/>
              <w:left w:val="single" w:color="auto" w:sz="4" w:space="0"/>
              <w:bottom w:val="single" w:color="000000" w:sz="4" w:space="0"/>
              <w:right w:val="single" w:color="000000" w:sz="4" w:space="0"/>
            </w:tcBorders>
            <w:vAlign w:val="center"/>
          </w:tcPr>
          <w:p w14:paraId="41C2DC6A">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3</w:t>
            </w:r>
          </w:p>
        </w:tc>
      </w:tr>
      <w:tr w14:paraId="6AB33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6" w:hRule="atLeast"/>
          <w:jc w:val="center"/>
        </w:trPr>
        <w:tc>
          <w:tcPr>
            <w:tcW w:w="733" w:type="dxa"/>
            <w:vMerge w:val="continue"/>
            <w:tcBorders>
              <w:left w:val="single" w:color="000000" w:sz="4" w:space="0"/>
              <w:bottom w:val="single" w:color="000000" w:sz="4" w:space="0"/>
              <w:right w:val="single" w:color="000000" w:sz="4" w:space="0"/>
            </w:tcBorders>
            <w:vAlign w:val="center"/>
          </w:tcPr>
          <w:p w14:paraId="420CE866">
            <w:pPr>
              <w:ind w:firstLine="0" w:firstLineChars="0"/>
              <w:rPr>
                <w:rFonts w:ascii="宋体" w:hAnsi="宋体" w:eastAsia="宋体" w:cs="宋体"/>
              </w:rPr>
            </w:pPr>
          </w:p>
        </w:tc>
        <w:tc>
          <w:tcPr>
            <w:tcW w:w="803" w:type="dxa"/>
            <w:tcBorders>
              <w:left w:val="single" w:color="000000" w:sz="4" w:space="0"/>
              <w:bottom w:val="single" w:color="000000" w:sz="4" w:space="0"/>
              <w:right w:val="single" w:color="000000" w:sz="4" w:space="0"/>
            </w:tcBorders>
            <w:vAlign w:val="center"/>
          </w:tcPr>
          <w:p w14:paraId="45335665">
            <w:pPr>
              <w:ind w:firstLine="0" w:firstLineChars="0"/>
              <w:rPr>
                <w:rFonts w:ascii="宋体" w:hAnsi="宋体" w:eastAsia="宋体" w:cs="宋体"/>
              </w:rPr>
            </w:pPr>
            <w:r>
              <w:rPr>
                <w:rFonts w:hint="eastAsia" w:ascii="宋体" w:hAnsi="宋体" w:eastAsia="宋体" w:cs="宋体"/>
              </w:rPr>
              <w:t>预算绩效监控管理（2分）</w:t>
            </w:r>
          </w:p>
        </w:tc>
        <w:tc>
          <w:tcPr>
            <w:tcW w:w="1182" w:type="dxa"/>
            <w:tcBorders>
              <w:top w:val="single" w:color="auto" w:sz="4" w:space="0"/>
              <w:left w:val="single" w:color="000000" w:sz="4" w:space="0"/>
              <w:bottom w:val="single" w:color="000000" w:sz="4" w:space="0"/>
              <w:right w:val="single" w:color="auto" w:sz="4" w:space="0"/>
            </w:tcBorders>
            <w:vAlign w:val="center"/>
          </w:tcPr>
          <w:p w14:paraId="52035341">
            <w:pPr>
              <w:spacing w:line="68" w:lineRule="atLeast"/>
              <w:ind w:firstLine="0" w:firstLineChars="0"/>
              <w:rPr>
                <w:rFonts w:ascii="宋体" w:hAnsi="宋体" w:eastAsia="宋体" w:cs="宋体"/>
              </w:rPr>
            </w:pPr>
            <w:r>
              <w:rPr>
                <w:rFonts w:hint="eastAsia" w:ascii="宋体" w:hAnsi="宋体" w:eastAsia="宋体" w:cs="宋体"/>
              </w:rPr>
              <w:t>监控率（2分）</w:t>
            </w:r>
          </w:p>
        </w:tc>
        <w:tc>
          <w:tcPr>
            <w:tcW w:w="6911" w:type="dxa"/>
            <w:tcBorders>
              <w:top w:val="single" w:color="auto" w:sz="4" w:space="0"/>
              <w:left w:val="single" w:color="auto" w:sz="4" w:space="0"/>
              <w:bottom w:val="single" w:color="000000" w:sz="4" w:space="0"/>
              <w:right w:val="single" w:color="auto" w:sz="4" w:space="0"/>
            </w:tcBorders>
            <w:vAlign w:val="center"/>
          </w:tcPr>
          <w:p w14:paraId="594360A4">
            <w:pPr>
              <w:spacing w:line="240" w:lineRule="exact"/>
              <w:ind w:firstLine="0" w:firstLineChars="0"/>
              <w:rPr>
                <w:rFonts w:ascii="宋体" w:hAnsi="宋体" w:eastAsia="宋体" w:cs="宋体"/>
              </w:rPr>
            </w:pPr>
            <w:r>
              <w:rPr>
                <w:rFonts w:hint="eastAsia" w:ascii="宋体" w:hAnsi="宋体" w:eastAsia="宋体" w:cs="宋体"/>
              </w:rPr>
              <w:t>部门（单位）纳入绩效监控的项目数量占实际申报绩效目标项目数量的比重，用以反映和考核部门（单位）在项目运行中实施绩效管理的水平和程度。</w:t>
            </w:r>
          </w:p>
          <w:p w14:paraId="1CE10D59">
            <w:pPr>
              <w:spacing w:line="240" w:lineRule="exact"/>
              <w:ind w:firstLine="0" w:firstLineChars="0"/>
              <w:rPr>
                <w:rFonts w:ascii="宋体" w:hAnsi="宋体" w:eastAsia="宋体" w:cs="宋体"/>
              </w:rPr>
            </w:pPr>
            <w:r>
              <w:rPr>
                <w:rFonts w:hint="eastAsia" w:ascii="宋体" w:hAnsi="宋体" w:eastAsia="宋体" w:cs="宋体"/>
              </w:rPr>
              <w:t>监控率=实施绩效监控项目数/实际申报绩效目标项目数×100%</w:t>
            </w:r>
          </w:p>
        </w:tc>
        <w:tc>
          <w:tcPr>
            <w:tcW w:w="3423" w:type="dxa"/>
            <w:tcBorders>
              <w:top w:val="single" w:color="auto" w:sz="4" w:space="0"/>
              <w:left w:val="single" w:color="auto" w:sz="4" w:space="0"/>
              <w:bottom w:val="single" w:color="000000" w:sz="4" w:space="0"/>
              <w:right w:val="single" w:color="auto" w:sz="4" w:space="0"/>
            </w:tcBorders>
            <w:vAlign w:val="center"/>
          </w:tcPr>
          <w:p w14:paraId="445CEE69">
            <w:pPr>
              <w:spacing w:line="68" w:lineRule="atLeast"/>
              <w:ind w:firstLine="0" w:firstLineChars="0"/>
              <w:rPr>
                <w:rFonts w:ascii="宋体" w:hAnsi="宋体" w:eastAsia="宋体" w:cs="宋体"/>
              </w:rPr>
            </w:pPr>
            <w:r>
              <w:rPr>
                <w:rFonts w:hint="eastAsia" w:ascii="宋体" w:hAnsi="宋体" w:eastAsia="宋体" w:cs="宋体"/>
              </w:rPr>
              <w:t>目标值为90%；以2分为上限，采用完成比率法计分：得分=监控率×2，超出目标值不加分。</w:t>
            </w:r>
          </w:p>
        </w:tc>
        <w:tc>
          <w:tcPr>
            <w:tcW w:w="1090" w:type="dxa"/>
            <w:tcBorders>
              <w:top w:val="single" w:color="auto" w:sz="4" w:space="0"/>
              <w:left w:val="single" w:color="auto" w:sz="4" w:space="0"/>
              <w:bottom w:val="single" w:color="000000" w:sz="4" w:space="0"/>
              <w:right w:val="single" w:color="000000" w:sz="4" w:space="0"/>
            </w:tcBorders>
            <w:vAlign w:val="center"/>
          </w:tcPr>
          <w:p w14:paraId="1BD3809D">
            <w:pPr>
              <w:spacing w:line="68" w:lineRule="atLeast"/>
              <w:ind w:firstLine="0" w:firstLineChars="0"/>
              <w:rPr>
                <w:rFonts w:ascii="宋体" w:hAnsi="宋体" w:eastAsia="宋体" w:cs="宋体"/>
              </w:rPr>
            </w:pPr>
            <w:r>
              <w:rPr>
                <w:rFonts w:hint="eastAsia" w:ascii="宋体" w:hAnsi="宋体" w:eastAsia="宋体" w:cs="宋体"/>
              </w:rPr>
              <w:t>2</w:t>
            </w:r>
          </w:p>
        </w:tc>
      </w:tr>
      <w:tr w14:paraId="50D89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jc w:val="center"/>
        </w:trPr>
        <w:tc>
          <w:tcPr>
            <w:tcW w:w="733" w:type="dxa"/>
            <w:vMerge w:val="restart"/>
            <w:tcBorders>
              <w:top w:val="single" w:color="000000" w:sz="4" w:space="0"/>
              <w:left w:val="single" w:color="000000" w:sz="4" w:space="0"/>
              <w:right w:val="single" w:color="000000" w:sz="4" w:space="0"/>
            </w:tcBorders>
            <w:vAlign w:val="center"/>
          </w:tcPr>
          <w:p w14:paraId="1AF6EC9D">
            <w:pPr>
              <w:spacing w:line="68" w:lineRule="atLeast"/>
              <w:ind w:firstLine="0" w:firstLineChars="0"/>
              <w:rPr>
                <w:rFonts w:ascii="宋体" w:hAnsi="宋体" w:eastAsia="宋体" w:cs="宋体"/>
              </w:rPr>
            </w:pPr>
          </w:p>
          <w:p w14:paraId="226FC67E">
            <w:pPr>
              <w:spacing w:line="68" w:lineRule="atLeast"/>
              <w:ind w:firstLine="0" w:firstLineChars="0"/>
              <w:rPr>
                <w:rFonts w:ascii="宋体" w:hAnsi="宋体" w:eastAsia="宋体" w:cs="宋体"/>
              </w:rPr>
            </w:pPr>
            <w:r>
              <w:rPr>
                <w:rFonts w:hint="eastAsia" w:ascii="宋体" w:hAnsi="宋体" w:eastAsia="宋体" w:cs="宋体"/>
              </w:rPr>
              <w:t>产出(15分)</w:t>
            </w:r>
          </w:p>
          <w:p w14:paraId="313CDD88">
            <w:pPr>
              <w:spacing w:line="68" w:lineRule="atLeast"/>
              <w:ind w:firstLine="0" w:firstLineChars="0"/>
              <w:rPr>
                <w:rFonts w:ascii="宋体" w:hAnsi="宋体" w:eastAsia="宋体" w:cs="宋体"/>
              </w:rPr>
            </w:pPr>
          </w:p>
          <w:p w14:paraId="6AF76126">
            <w:pPr>
              <w:spacing w:line="68" w:lineRule="atLeast"/>
              <w:ind w:firstLine="0" w:firstLineChars="0"/>
              <w:rPr>
                <w:rFonts w:ascii="宋体" w:hAnsi="宋体" w:eastAsia="宋体" w:cs="宋体"/>
              </w:rPr>
            </w:pPr>
          </w:p>
          <w:p w14:paraId="1C2D5986">
            <w:pPr>
              <w:spacing w:line="68" w:lineRule="atLeast"/>
              <w:ind w:firstLine="0" w:firstLineChars="0"/>
              <w:rPr>
                <w:rFonts w:ascii="宋体" w:hAnsi="宋体" w:eastAsia="宋体" w:cs="宋体"/>
              </w:rPr>
            </w:pPr>
          </w:p>
          <w:p w14:paraId="51579D70">
            <w:pPr>
              <w:spacing w:line="68" w:lineRule="atLeast"/>
              <w:ind w:firstLine="0" w:firstLineChars="0"/>
              <w:rPr>
                <w:rFonts w:ascii="宋体" w:hAnsi="宋体" w:eastAsia="宋体" w:cs="宋体"/>
              </w:rPr>
            </w:pPr>
          </w:p>
          <w:p w14:paraId="2799A010">
            <w:pPr>
              <w:spacing w:line="68" w:lineRule="atLeast"/>
              <w:ind w:firstLine="0" w:firstLineChars="0"/>
              <w:rPr>
                <w:rFonts w:ascii="宋体" w:hAnsi="宋体" w:eastAsia="宋体" w:cs="宋体"/>
              </w:rPr>
            </w:pPr>
          </w:p>
          <w:p w14:paraId="679FF32B">
            <w:pPr>
              <w:spacing w:line="68" w:lineRule="atLeast"/>
              <w:ind w:firstLine="0" w:firstLineChars="0"/>
              <w:rPr>
                <w:rFonts w:ascii="宋体" w:hAnsi="宋体" w:eastAsia="宋体" w:cs="宋体"/>
              </w:rPr>
            </w:pPr>
          </w:p>
          <w:p w14:paraId="5A117F6E">
            <w:pPr>
              <w:spacing w:line="68" w:lineRule="atLeast"/>
              <w:ind w:firstLine="0" w:firstLineChars="0"/>
              <w:rPr>
                <w:rFonts w:ascii="宋体" w:hAnsi="宋体" w:eastAsia="宋体" w:cs="宋体"/>
              </w:rPr>
            </w:pPr>
          </w:p>
          <w:p w14:paraId="341EEB81">
            <w:pPr>
              <w:spacing w:line="68" w:lineRule="atLeast"/>
              <w:ind w:firstLine="0" w:firstLineChars="0"/>
              <w:rPr>
                <w:rFonts w:ascii="宋体" w:hAnsi="宋体" w:eastAsia="宋体" w:cs="宋体"/>
              </w:rPr>
            </w:pPr>
          </w:p>
          <w:p w14:paraId="6F327FD7">
            <w:pPr>
              <w:spacing w:line="68" w:lineRule="atLeast"/>
              <w:ind w:firstLine="0" w:firstLineChars="0"/>
              <w:rPr>
                <w:rFonts w:ascii="宋体" w:hAnsi="宋体" w:eastAsia="宋体" w:cs="宋体"/>
              </w:rPr>
            </w:pPr>
          </w:p>
          <w:p w14:paraId="29B0DAF8">
            <w:pPr>
              <w:spacing w:line="68" w:lineRule="atLeast"/>
              <w:ind w:firstLine="0" w:firstLineChars="0"/>
              <w:rPr>
                <w:rFonts w:ascii="宋体" w:hAnsi="宋体" w:eastAsia="宋体" w:cs="宋体"/>
              </w:rPr>
            </w:pPr>
          </w:p>
          <w:p w14:paraId="7CE292AD">
            <w:pPr>
              <w:spacing w:line="68" w:lineRule="atLeast"/>
              <w:ind w:firstLine="0" w:firstLineChars="0"/>
              <w:rPr>
                <w:rFonts w:ascii="宋体" w:hAnsi="宋体" w:eastAsia="宋体" w:cs="宋体"/>
              </w:rPr>
            </w:pPr>
          </w:p>
          <w:p w14:paraId="694ACAF5">
            <w:pPr>
              <w:spacing w:line="68" w:lineRule="atLeast"/>
              <w:ind w:firstLine="0" w:firstLineChars="0"/>
              <w:rPr>
                <w:rFonts w:ascii="宋体" w:hAnsi="宋体" w:eastAsia="宋体" w:cs="宋体"/>
              </w:rPr>
            </w:pPr>
          </w:p>
          <w:p w14:paraId="14FEA5A9">
            <w:pPr>
              <w:spacing w:line="68" w:lineRule="atLeast"/>
              <w:ind w:firstLine="0" w:firstLineChars="0"/>
              <w:rPr>
                <w:rFonts w:ascii="宋体" w:hAnsi="宋体" w:eastAsia="宋体" w:cs="宋体"/>
              </w:rPr>
            </w:pPr>
          </w:p>
          <w:p w14:paraId="15BFDC4E">
            <w:pPr>
              <w:spacing w:line="68" w:lineRule="atLeast"/>
              <w:ind w:firstLine="0" w:firstLineChars="0"/>
              <w:rPr>
                <w:rFonts w:ascii="宋体" w:hAnsi="宋体" w:eastAsia="宋体" w:cs="宋体"/>
              </w:rPr>
            </w:pPr>
            <w:r>
              <w:rPr>
                <w:rFonts w:hint="eastAsia" w:ascii="宋体" w:hAnsi="宋体" w:eastAsia="宋体" w:cs="宋体"/>
              </w:rPr>
              <w:t>产出(15分)</w:t>
            </w:r>
          </w:p>
        </w:tc>
        <w:tc>
          <w:tcPr>
            <w:tcW w:w="803" w:type="dxa"/>
            <w:vMerge w:val="restart"/>
            <w:tcBorders>
              <w:top w:val="single" w:color="000000" w:sz="4" w:space="0"/>
              <w:left w:val="single" w:color="000000" w:sz="4" w:space="0"/>
              <w:right w:val="single" w:color="000000" w:sz="4" w:space="0"/>
            </w:tcBorders>
            <w:vAlign w:val="center"/>
          </w:tcPr>
          <w:p w14:paraId="0C141737">
            <w:pPr>
              <w:spacing w:line="68" w:lineRule="atLeast"/>
              <w:ind w:firstLine="0" w:firstLineChars="0"/>
              <w:rPr>
                <w:rFonts w:ascii="宋体" w:hAnsi="宋体" w:eastAsia="宋体" w:cs="宋体"/>
              </w:rPr>
            </w:pPr>
            <w:r>
              <w:rPr>
                <w:rFonts w:hint="eastAsia" w:ascii="宋体" w:hAnsi="宋体" w:eastAsia="宋体" w:cs="宋体"/>
              </w:rPr>
              <w:t>职责履行（15分）</w:t>
            </w:r>
          </w:p>
        </w:tc>
        <w:tc>
          <w:tcPr>
            <w:tcW w:w="1182" w:type="dxa"/>
            <w:tcBorders>
              <w:top w:val="single" w:color="000000" w:sz="4" w:space="0"/>
              <w:left w:val="single" w:color="000000" w:sz="4" w:space="0"/>
              <w:bottom w:val="single" w:color="auto" w:sz="4" w:space="0"/>
              <w:right w:val="single" w:color="auto" w:sz="4" w:space="0"/>
            </w:tcBorders>
            <w:vAlign w:val="center"/>
          </w:tcPr>
          <w:p w14:paraId="56652B94">
            <w:pPr>
              <w:spacing w:line="68" w:lineRule="atLeast"/>
              <w:ind w:firstLine="0" w:firstLineChars="0"/>
              <w:rPr>
                <w:rFonts w:ascii="宋体" w:hAnsi="宋体" w:eastAsia="宋体" w:cs="宋体"/>
              </w:rPr>
            </w:pPr>
            <w:r>
              <w:rPr>
                <w:rFonts w:hint="eastAsia" w:ascii="宋体" w:hAnsi="宋体" w:eastAsia="宋体" w:cs="宋体"/>
              </w:rPr>
              <w:t>项目实际完成率（4分）</w:t>
            </w:r>
          </w:p>
        </w:tc>
        <w:tc>
          <w:tcPr>
            <w:tcW w:w="6911" w:type="dxa"/>
            <w:tcBorders>
              <w:top w:val="single" w:color="000000" w:sz="4" w:space="0"/>
              <w:left w:val="single" w:color="auto" w:sz="4" w:space="0"/>
              <w:bottom w:val="single" w:color="auto" w:sz="4" w:space="0"/>
              <w:right w:val="single" w:color="auto" w:sz="4" w:space="0"/>
            </w:tcBorders>
            <w:vAlign w:val="center"/>
          </w:tcPr>
          <w:p w14:paraId="6EAEEC38">
            <w:pPr>
              <w:spacing w:line="240" w:lineRule="exact"/>
              <w:ind w:firstLine="0" w:firstLineChars="0"/>
              <w:rPr>
                <w:rFonts w:ascii="宋体" w:hAnsi="宋体" w:eastAsia="宋体" w:cs="宋体"/>
              </w:rPr>
            </w:pPr>
            <w:r>
              <w:rPr>
                <w:rFonts w:hint="eastAsia" w:ascii="宋体" w:hAnsi="宋体" w:eastAsia="宋体" w:cs="宋体"/>
              </w:rPr>
              <w:t>部门履行职责而实际完成的项目数与计划完成的项目数的比率，用以反映和评价部门履职任务目标的实现程度。</w:t>
            </w:r>
          </w:p>
          <w:p w14:paraId="6E750890">
            <w:pPr>
              <w:spacing w:line="68" w:lineRule="atLeast"/>
              <w:ind w:firstLine="0" w:firstLineChars="0"/>
              <w:rPr>
                <w:rFonts w:ascii="宋体" w:hAnsi="宋体" w:eastAsia="宋体" w:cs="宋体"/>
              </w:rPr>
            </w:pPr>
            <w:r>
              <w:rPr>
                <w:rFonts w:hint="eastAsia" w:ascii="宋体" w:hAnsi="宋体" w:eastAsia="宋体" w:cs="宋体"/>
              </w:rPr>
              <w:t>项目实际完成率=（实际完成项目数/计划完成项目数）×100%。</w:t>
            </w:r>
          </w:p>
        </w:tc>
        <w:tc>
          <w:tcPr>
            <w:tcW w:w="3423" w:type="dxa"/>
            <w:tcBorders>
              <w:top w:val="single" w:color="000000" w:sz="4" w:space="0"/>
              <w:left w:val="single" w:color="auto" w:sz="4" w:space="0"/>
              <w:bottom w:val="single" w:color="auto" w:sz="4" w:space="0"/>
              <w:right w:val="single" w:color="auto" w:sz="4" w:space="0"/>
            </w:tcBorders>
            <w:vAlign w:val="center"/>
          </w:tcPr>
          <w:p w14:paraId="28A62D2D">
            <w:pPr>
              <w:spacing w:line="68" w:lineRule="atLeast"/>
              <w:ind w:firstLine="0" w:firstLineChars="0"/>
              <w:rPr>
                <w:rFonts w:ascii="宋体" w:hAnsi="宋体" w:eastAsia="宋体" w:cs="宋体"/>
              </w:rPr>
            </w:pPr>
            <w:r>
              <w:rPr>
                <w:rFonts w:hint="eastAsia" w:ascii="宋体" w:hAnsi="宋体" w:eastAsia="宋体" w:cs="宋体"/>
              </w:rPr>
              <w:t>目标值为100%；</w:t>
            </w:r>
          </w:p>
          <w:p w14:paraId="5AB8B326">
            <w:pPr>
              <w:spacing w:line="68" w:lineRule="atLeast"/>
              <w:ind w:firstLine="0" w:firstLineChars="0"/>
              <w:rPr>
                <w:rFonts w:ascii="宋体" w:hAnsi="宋体" w:eastAsia="宋体" w:cs="宋体"/>
              </w:rPr>
            </w:pPr>
            <w:r>
              <w:rPr>
                <w:rFonts w:hint="eastAsia" w:ascii="宋体" w:hAnsi="宋体" w:eastAsia="宋体" w:cs="宋体"/>
              </w:rPr>
              <w:t>达到目标值得4分；</w:t>
            </w:r>
          </w:p>
          <w:p w14:paraId="2AEBC08E">
            <w:pPr>
              <w:spacing w:line="68" w:lineRule="atLeast"/>
              <w:ind w:firstLine="0" w:firstLineChars="0"/>
              <w:rPr>
                <w:rFonts w:ascii="宋体" w:hAnsi="宋体" w:eastAsia="宋体" w:cs="宋体"/>
              </w:rPr>
            </w:pPr>
            <w:r>
              <w:rPr>
                <w:rFonts w:hint="eastAsia" w:ascii="宋体" w:hAnsi="宋体" w:eastAsia="宋体" w:cs="宋体"/>
              </w:rPr>
              <w:t>100%＞结果≥95%，得3分；</w:t>
            </w:r>
          </w:p>
          <w:p w14:paraId="4465862D">
            <w:pPr>
              <w:spacing w:line="68" w:lineRule="atLeast"/>
              <w:ind w:firstLine="0" w:firstLineChars="0"/>
              <w:rPr>
                <w:rFonts w:ascii="宋体" w:hAnsi="宋体" w:eastAsia="宋体" w:cs="宋体"/>
              </w:rPr>
            </w:pPr>
            <w:r>
              <w:rPr>
                <w:rFonts w:hint="eastAsia" w:ascii="宋体" w:hAnsi="宋体" w:eastAsia="宋体" w:cs="宋体"/>
              </w:rPr>
              <w:t>95%＞结果≥90%，得2分；</w:t>
            </w:r>
          </w:p>
          <w:p w14:paraId="6671F72A">
            <w:pPr>
              <w:spacing w:line="68" w:lineRule="atLeast"/>
              <w:ind w:firstLine="0" w:firstLineChars="0"/>
              <w:rPr>
                <w:rFonts w:ascii="宋体" w:hAnsi="宋体" w:eastAsia="宋体" w:cs="宋体"/>
              </w:rPr>
            </w:pPr>
            <w:r>
              <w:rPr>
                <w:rFonts w:hint="eastAsia" w:ascii="宋体" w:hAnsi="宋体" w:eastAsia="宋体" w:cs="宋体"/>
              </w:rPr>
              <w:t>90%＞结果≥85%，得1分；</w:t>
            </w:r>
          </w:p>
          <w:p w14:paraId="58949F2D">
            <w:pPr>
              <w:spacing w:line="68" w:lineRule="atLeast"/>
              <w:ind w:firstLine="0" w:firstLineChars="0"/>
              <w:rPr>
                <w:rFonts w:ascii="宋体" w:hAnsi="宋体" w:eastAsia="宋体" w:cs="宋体"/>
              </w:rPr>
            </w:pPr>
            <w:r>
              <w:rPr>
                <w:rFonts w:hint="eastAsia" w:ascii="宋体" w:hAnsi="宋体" w:eastAsia="宋体" w:cs="宋体"/>
              </w:rPr>
              <w:t>结果＜85%得0分。</w:t>
            </w:r>
          </w:p>
        </w:tc>
        <w:tc>
          <w:tcPr>
            <w:tcW w:w="1090" w:type="dxa"/>
            <w:tcBorders>
              <w:top w:val="single" w:color="000000" w:sz="4" w:space="0"/>
              <w:left w:val="single" w:color="auto" w:sz="4" w:space="0"/>
              <w:bottom w:val="single" w:color="auto" w:sz="4" w:space="0"/>
              <w:right w:val="single" w:color="000000" w:sz="4" w:space="0"/>
            </w:tcBorders>
            <w:vAlign w:val="center"/>
          </w:tcPr>
          <w:p w14:paraId="322F9464">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4</w:t>
            </w:r>
          </w:p>
        </w:tc>
      </w:tr>
      <w:tr w14:paraId="20DBE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9" w:hRule="atLeast"/>
          <w:jc w:val="center"/>
        </w:trPr>
        <w:tc>
          <w:tcPr>
            <w:tcW w:w="733" w:type="dxa"/>
            <w:vMerge w:val="continue"/>
            <w:tcBorders>
              <w:left w:val="single" w:color="000000" w:sz="4" w:space="0"/>
              <w:right w:val="single" w:color="000000" w:sz="4" w:space="0"/>
            </w:tcBorders>
            <w:vAlign w:val="center"/>
          </w:tcPr>
          <w:p w14:paraId="13F583A7">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4754D914">
            <w:pPr>
              <w:ind w:firstLine="0" w:firstLineChars="0"/>
              <w:rPr>
                <w:rFonts w:ascii="宋体" w:hAnsi="宋体" w:eastAsia="宋体" w:cs="宋体"/>
              </w:rPr>
            </w:pPr>
          </w:p>
        </w:tc>
        <w:tc>
          <w:tcPr>
            <w:tcW w:w="1182" w:type="dxa"/>
            <w:tcBorders>
              <w:top w:val="single" w:color="000000" w:sz="4" w:space="0"/>
              <w:left w:val="single" w:color="000000" w:sz="4" w:space="0"/>
              <w:bottom w:val="single" w:color="auto" w:sz="4" w:space="0"/>
              <w:right w:val="single" w:color="auto" w:sz="4" w:space="0"/>
            </w:tcBorders>
            <w:vAlign w:val="center"/>
          </w:tcPr>
          <w:p w14:paraId="0C21FFF3">
            <w:pPr>
              <w:spacing w:line="68" w:lineRule="atLeast"/>
              <w:ind w:firstLine="0" w:firstLineChars="0"/>
              <w:rPr>
                <w:rFonts w:ascii="宋体" w:hAnsi="宋体" w:eastAsia="宋体" w:cs="宋体"/>
              </w:rPr>
            </w:pPr>
            <w:r>
              <w:rPr>
                <w:rFonts w:hint="eastAsia" w:ascii="宋体" w:hAnsi="宋体" w:eastAsia="宋体" w:cs="宋体"/>
              </w:rPr>
              <w:t>项目质量达标率（4分）</w:t>
            </w:r>
          </w:p>
        </w:tc>
        <w:tc>
          <w:tcPr>
            <w:tcW w:w="6911" w:type="dxa"/>
            <w:tcBorders>
              <w:top w:val="single" w:color="000000" w:sz="4" w:space="0"/>
              <w:left w:val="single" w:color="auto" w:sz="4" w:space="0"/>
              <w:bottom w:val="single" w:color="auto" w:sz="4" w:space="0"/>
              <w:right w:val="single" w:color="auto" w:sz="4" w:space="0"/>
            </w:tcBorders>
            <w:vAlign w:val="center"/>
          </w:tcPr>
          <w:p w14:paraId="39F5DB7A">
            <w:pPr>
              <w:spacing w:line="240" w:lineRule="exact"/>
              <w:ind w:firstLine="0" w:firstLineChars="0"/>
              <w:rPr>
                <w:rFonts w:ascii="宋体" w:hAnsi="宋体" w:eastAsia="宋体" w:cs="宋体"/>
              </w:rPr>
            </w:pPr>
            <w:r>
              <w:rPr>
                <w:rFonts w:hint="eastAsia" w:ascii="宋体" w:hAnsi="宋体" w:eastAsia="宋体" w:cs="宋体"/>
              </w:rPr>
              <w:t>部门已完成项目中质量达标项目个数占已完成项目个数的比率,用以反映和评价部门履职质量目标的实现程度。</w:t>
            </w:r>
          </w:p>
          <w:p w14:paraId="2D2744E2">
            <w:pPr>
              <w:spacing w:line="240" w:lineRule="exact"/>
              <w:ind w:firstLine="0" w:firstLineChars="0"/>
              <w:rPr>
                <w:rFonts w:ascii="宋体" w:hAnsi="宋体" w:eastAsia="宋体" w:cs="宋体"/>
              </w:rPr>
            </w:pPr>
            <w:r>
              <w:rPr>
                <w:rFonts w:hint="eastAsia" w:ascii="宋体" w:hAnsi="宋体" w:eastAsia="宋体" w:cs="宋体"/>
              </w:rPr>
              <w:t>项目质量达标率=（已完成项目中质量达标项目个数/已完成项目个数）×100%。</w:t>
            </w:r>
          </w:p>
          <w:p w14:paraId="3A893601">
            <w:pPr>
              <w:spacing w:line="68" w:lineRule="atLeast"/>
              <w:ind w:firstLine="0" w:firstLineChars="0"/>
              <w:rPr>
                <w:rFonts w:ascii="宋体" w:hAnsi="宋体" w:eastAsia="宋体" w:cs="宋体"/>
              </w:rPr>
            </w:pPr>
            <w:r>
              <w:rPr>
                <w:rFonts w:hint="eastAsia" w:ascii="宋体" w:hAnsi="宋体" w:eastAsia="宋体" w:cs="宋体"/>
              </w:rPr>
              <w:t>项目质量达标是指项目决算验收合格。</w:t>
            </w:r>
          </w:p>
        </w:tc>
        <w:tc>
          <w:tcPr>
            <w:tcW w:w="3423" w:type="dxa"/>
            <w:tcBorders>
              <w:top w:val="single" w:color="000000" w:sz="4" w:space="0"/>
              <w:left w:val="single" w:color="auto" w:sz="4" w:space="0"/>
              <w:bottom w:val="single" w:color="auto" w:sz="4" w:space="0"/>
              <w:right w:val="single" w:color="auto" w:sz="4" w:space="0"/>
            </w:tcBorders>
            <w:vAlign w:val="center"/>
          </w:tcPr>
          <w:p w14:paraId="57F37AE1">
            <w:pPr>
              <w:spacing w:line="68" w:lineRule="atLeast"/>
              <w:ind w:firstLine="0" w:firstLineChars="0"/>
              <w:rPr>
                <w:rFonts w:ascii="宋体" w:hAnsi="宋体" w:eastAsia="宋体" w:cs="宋体"/>
              </w:rPr>
            </w:pPr>
            <w:r>
              <w:rPr>
                <w:rFonts w:hint="eastAsia" w:ascii="宋体" w:hAnsi="宋体" w:eastAsia="宋体" w:cs="宋体"/>
              </w:rPr>
              <w:t>目标值100%；以4分为上限，采用完成比率法计分：得分=项目质量达标率×4，≤95%的扣4分。</w:t>
            </w:r>
          </w:p>
        </w:tc>
        <w:tc>
          <w:tcPr>
            <w:tcW w:w="1090" w:type="dxa"/>
            <w:tcBorders>
              <w:top w:val="single" w:color="000000" w:sz="4" w:space="0"/>
              <w:left w:val="single" w:color="auto" w:sz="4" w:space="0"/>
              <w:bottom w:val="single" w:color="auto" w:sz="4" w:space="0"/>
              <w:right w:val="single" w:color="000000" w:sz="4" w:space="0"/>
            </w:tcBorders>
            <w:vAlign w:val="center"/>
          </w:tcPr>
          <w:p w14:paraId="4CCEAD23">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4</w:t>
            </w:r>
          </w:p>
        </w:tc>
      </w:tr>
      <w:tr w14:paraId="597B7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jc w:val="center"/>
        </w:trPr>
        <w:tc>
          <w:tcPr>
            <w:tcW w:w="733" w:type="dxa"/>
            <w:vMerge w:val="continue"/>
            <w:tcBorders>
              <w:left w:val="single" w:color="000000" w:sz="4" w:space="0"/>
              <w:right w:val="single" w:color="000000" w:sz="4" w:space="0"/>
            </w:tcBorders>
            <w:vAlign w:val="center"/>
          </w:tcPr>
          <w:p w14:paraId="5B9A7E0F">
            <w:pPr>
              <w:ind w:firstLine="0" w:firstLineChars="0"/>
              <w:rPr>
                <w:rFonts w:ascii="宋体" w:hAnsi="宋体" w:eastAsia="宋体" w:cs="宋体"/>
              </w:rPr>
            </w:pPr>
          </w:p>
        </w:tc>
        <w:tc>
          <w:tcPr>
            <w:tcW w:w="803" w:type="dxa"/>
            <w:vMerge w:val="continue"/>
            <w:tcBorders>
              <w:left w:val="single" w:color="000000" w:sz="4" w:space="0"/>
              <w:right w:val="single" w:color="000000" w:sz="4" w:space="0"/>
            </w:tcBorders>
            <w:vAlign w:val="center"/>
          </w:tcPr>
          <w:p w14:paraId="13FF692C">
            <w:pPr>
              <w:ind w:firstLine="0" w:firstLineChars="0"/>
              <w:rPr>
                <w:rFonts w:ascii="宋体" w:hAnsi="宋体" w:eastAsia="宋体" w:cs="宋体"/>
              </w:rPr>
            </w:pPr>
          </w:p>
        </w:tc>
        <w:tc>
          <w:tcPr>
            <w:tcW w:w="1182" w:type="dxa"/>
            <w:tcBorders>
              <w:top w:val="single" w:color="000000" w:sz="4" w:space="0"/>
              <w:left w:val="single" w:color="000000" w:sz="4" w:space="0"/>
              <w:bottom w:val="single" w:color="auto" w:sz="4" w:space="0"/>
              <w:right w:val="single" w:color="auto" w:sz="4" w:space="0"/>
            </w:tcBorders>
            <w:vAlign w:val="center"/>
          </w:tcPr>
          <w:p w14:paraId="00ECE572">
            <w:pPr>
              <w:spacing w:line="68" w:lineRule="atLeast"/>
              <w:ind w:firstLine="0" w:firstLineChars="0"/>
              <w:rPr>
                <w:rFonts w:ascii="宋体" w:hAnsi="宋体" w:eastAsia="宋体" w:cs="宋体"/>
              </w:rPr>
            </w:pPr>
            <w:r>
              <w:rPr>
                <w:rFonts w:hint="eastAsia" w:ascii="宋体" w:hAnsi="宋体" w:eastAsia="宋体" w:cs="宋体"/>
              </w:rPr>
              <w:t>重点工作办结率（4分）</w:t>
            </w:r>
          </w:p>
        </w:tc>
        <w:tc>
          <w:tcPr>
            <w:tcW w:w="6911" w:type="dxa"/>
            <w:tcBorders>
              <w:top w:val="single" w:color="000000" w:sz="4" w:space="0"/>
              <w:left w:val="single" w:color="auto" w:sz="4" w:space="0"/>
              <w:bottom w:val="single" w:color="auto" w:sz="4" w:space="0"/>
              <w:right w:val="single" w:color="auto" w:sz="4" w:space="0"/>
            </w:tcBorders>
            <w:vAlign w:val="center"/>
          </w:tcPr>
          <w:p w14:paraId="0A07DF41">
            <w:pPr>
              <w:spacing w:line="68" w:lineRule="atLeast"/>
              <w:ind w:firstLine="0" w:firstLineChars="0"/>
              <w:rPr>
                <w:rFonts w:ascii="宋体" w:hAnsi="宋体" w:eastAsia="宋体" w:cs="宋体"/>
              </w:rPr>
            </w:pPr>
            <w:r>
              <w:rPr>
                <w:rFonts w:hint="eastAsia" w:ascii="宋体" w:hAnsi="宋体" w:eastAsia="宋体" w:cs="宋体"/>
              </w:rPr>
              <w:t>部门年度重点工作实际完成数与交办或下达数的比率，用以反映部门对重点工作的办理落实程度。</w:t>
            </w:r>
          </w:p>
          <w:p w14:paraId="7A5C879D">
            <w:pPr>
              <w:spacing w:line="68" w:lineRule="atLeast"/>
              <w:ind w:firstLine="0" w:firstLineChars="0"/>
              <w:rPr>
                <w:rFonts w:ascii="宋体" w:hAnsi="宋体" w:eastAsia="宋体" w:cs="宋体"/>
              </w:rPr>
            </w:pPr>
            <w:r>
              <w:rPr>
                <w:rFonts w:hint="eastAsia" w:ascii="宋体" w:hAnsi="宋体" w:eastAsia="宋体" w:cs="宋体"/>
              </w:rPr>
              <w:t>重点工作办结率=（重点工作实际完成数/交办或下达数）×100%。</w:t>
            </w:r>
          </w:p>
          <w:p w14:paraId="44393725">
            <w:pPr>
              <w:spacing w:line="68" w:lineRule="atLeast"/>
              <w:ind w:firstLine="0" w:firstLineChars="0"/>
              <w:rPr>
                <w:rFonts w:ascii="宋体" w:hAnsi="宋体" w:eastAsia="宋体" w:cs="宋体"/>
              </w:rPr>
            </w:pPr>
            <w:r>
              <w:rPr>
                <w:rFonts w:hint="eastAsia" w:ascii="宋体" w:hAnsi="宋体" w:eastAsia="宋体" w:cs="宋体"/>
              </w:rPr>
              <w:t>重点工作是指党委、政府、人大、相关部门交办或下达的工作任务。</w:t>
            </w:r>
          </w:p>
        </w:tc>
        <w:tc>
          <w:tcPr>
            <w:tcW w:w="3423" w:type="dxa"/>
            <w:tcBorders>
              <w:top w:val="single" w:color="000000" w:sz="4" w:space="0"/>
              <w:left w:val="single" w:color="auto" w:sz="4" w:space="0"/>
              <w:bottom w:val="single" w:color="auto" w:sz="4" w:space="0"/>
              <w:right w:val="single" w:color="auto" w:sz="4" w:space="0"/>
            </w:tcBorders>
            <w:vAlign w:val="center"/>
          </w:tcPr>
          <w:p w14:paraId="75175911">
            <w:pPr>
              <w:spacing w:line="68" w:lineRule="atLeast"/>
              <w:ind w:firstLine="0" w:firstLineChars="0"/>
              <w:rPr>
                <w:rFonts w:ascii="宋体" w:hAnsi="宋体" w:eastAsia="宋体" w:cs="宋体"/>
              </w:rPr>
            </w:pPr>
            <w:r>
              <w:rPr>
                <w:rFonts w:hint="eastAsia" w:ascii="宋体" w:hAnsi="宋体" w:eastAsia="宋体" w:cs="宋体"/>
              </w:rPr>
              <w:t>目标值100%；以4分为上限，采用完成比率法计分：得分=重点工作办结率×4，≤90%的扣4分。</w:t>
            </w:r>
          </w:p>
        </w:tc>
        <w:tc>
          <w:tcPr>
            <w:tcW w:w="1090" w:type="dxa"/>
            <w:tcBorders>
              <w:top w:val="single" w:color="000000" w:sz="4" w:space="0"/>
              <w:left w:val="single" w:color="auto" w:sz="4" w:space="0"/>
              <w:bottom w:val="single" w:color="auto" w:sz="4" w:space="0"/>
              <w:right w:val="single" w:color="000000" w:sz="4" w:space="0"/>
            </w:tcBorders>
            <w:vAlign w:val="center"/>
          </w:tcPr>
          <w:p w14:paraId="23DC239F">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4</w:t>
            </w:r>
          </w:p>
        </w:tc>
      </w:tr>
      <w:tr w14:paraId="685CB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9" w:hRule="atLeast"/>
          <w:jc w:val="center"/>
        </w:trPr>
        <w:tc>
          <w:tcPr>
            <w:tcW w:w="733" w:type="dxa"/>
            <w:vMerge w:val="continue"/>
            <w:tcBorders>
              <w:left w:val="single" w:color="000000" w:sz="4" w:space="0"/>
              <w:bottom w:val="single" w:color="000000" w:sz="4" w:space="0"/>
              <w:right w:val="single" w:color="000000" w:sz="4" w:space="0"/>
            </w:tcBorders>
            <w:vAlign w:val="center"/>
          </w:tcPr>
          <w:p w14:paraId="25D010A2">
            <w:pPr>
              <w:ind w:firstLine="0" w:firstLineChars="0"/>
              <w:rPr>
                <w:rFonts w:ascii="宋体" w:hAnsi="宋体" w:eastAsia="宋体" w:cs="宋体"/>
              </w:rPr>
            </w:pPr>
          </w:p>
        </w:tc>
        <w:tc>
          <w:tcPr>
            <w:tcW w:w="803" w:type="dxa"/>
            <w:vMerge w:val="continue"/>
            <w:tcBorders>
              <w:left w:val="single" w:color="000000" w:sz="4" w:space="0"/>
              <w:bottom w:val="single" w:color="000000" w:sz="4" w:space="0"/>
              <w:right w:val="single" w:color="000000" w:sz="4" w:space="0"/>
            </w:tcBorders>
            <w:vAlign w:val="center"/>
          </w:tcPr>
          <w:p w14:paraId="089A7F55">
            <w:pPr>
              <w:ind w:firstLine="0" w:firstLineChars="0"/>
              <w:rPr>
                <w:rFonts w:ascii="宋体" w:hAnsi="宋体" w:eastAsia="宋体" w:cs="宋体"/>
              </w:rPr>
            </w:pPr>
          </w:p>
        </w:tc>
        <w:tc>
          <w:tcPr>
            <w:tcW w:w="1182" w:type="dxa"/>
            <w:tcBorders>
              <w:top w:val="single" w:color="000000" w:sz="4" w:space="0"/>
              <w:left w:val="single" w:color="000000" w:sz="4" w:space="0"/>
              <w:bottom w:val="single" w:color="auto" w:sz="4" w:space="0"/>
              <w:right w:val="single" w:color="auto" w:sz="4" w:space="0"/>
            </w:tcBorders>
            <w:vAlign w:val="center"/>
          </w:tcPr>
          <w:p w14:paraId="79C4534E">
            <w:pPr>
              <w:spacing w:line="68" w:lineRule="atLeast"/>
              <w:ind w:firstLine="0" w:firstLineChars="0"/>
              <w:rPr>
                <w:rFonts w:ascii="宋体" w:hAnsi="宋体" w:eastAsia="宋体" w:cs="宋体"/>
              </w:rPr>
            </w:pPr>
            <w:r>
              <w:rPr>
                <w:rFonts w:hint="eastAsia" w:ascii="宋体" w:hAnsi="宋体" w:eastAsia="宋体" w:cs="宋体"/>
              </w:rPr>
              <w:t>部门绩效自评项目占比率（3分）</w:t>
            </w:r>
          </w:p>
        </w:tc>
        <w:tc>
          <w:tcPr>
            <w:tcW w:w="6911" w:type="dxa"/>
            <w:tcBorders>
              <w:top w:val="single" w:color="000000" w:sz="4" w:space="0"/>
              <w:left w:val="single" w:color="auto" w:sz="4" w:space="0"/>
              <w:bottom w:val="single" w:color="auto" w:sz="4" w:space="0"/>
              <w:right w:val="single" w:color="auto" w:sz="4" w:space="0"/>
            </w:tcBorders>
            <w:vAlign w:val="center"/>
          </w:tcPr>
          <w:p w14:paraId="6FD4066D">
            <w:pPr>
              <w:spacing w:line="240" w:lineRule="exact"/>
              <w:ind w:firstLine="0" w:firstLineChars="0"/>
              <w:rPr>
                <w:rFonts w:ascii="宋体" w:hAnsi="宋体" w:eastAsia="宋体" w:cs="宋体"/>
              </w:rPr>
            </w:pPr>
            <w:r>
              <w:rPr>
                <w:rFonts w:hint="eastAsia" w:ascii="宋体" w:hAnsi="宋体" w:eastAsia="宋体" w:cs="宋体"/>
              </w:rPr>
              <w:t>部门自评项目在所有项目中所占的份额，反映和评价部门对项目自评的重视程度。</w:t>
            </w:r>
          </w:p>
          <w:p w14:paraId="3DBA5830">
            <w:pPr>
              <w:spacing w:line="240" w:lineRule="exact"/>
              <w:ind w:firstLine="0" w:firstLineChars="0"/>
              <w:rPr>
                <w:rFonts w:ascii="宋体" w:hAnsi="宋体" w:eastAsia="宋体" w:cs="宋体"/>
              </w:rPr>
            </w:pPr>
            <w:r>
              <w:rPr>
                <w:rFonts w:hint="eastAsia" w:ascii="宋体" w:hAnsi="宋体" w:eastAsia="宋体" w:cs="宋体"/>
              </w:rPr>
              <w:t>占比率=(自评项目资金量/项目支出资金量)×100%。</w:t>
            </w:r>
          </w:p>
          <w:p w14:paraId="26371FE5">
            <w:pPr>
              <w:spacing w:line="68" w:lineRule="atLeast"/>
              <w:ind w:firstLine="0" w:firstLineChars="0"/>
              <w:rPr>
                <w:rFonts w:ascii="宋体" w:hAnsi="宋体" w:eastAsia="宋体" w:cs="宋体"/>
              </w:rPr>
            </w:pPr>
            <w:r>
              <w:rPr>
                <w:rFonts w:hint="eastAsia" w:ascii="宋体" w:hAnsi="宋体" w:eastAsia="宋体" w:cs="宋体"/>
              </w:rPr>
              <w:t>部门支出项目绩效自评范围：本年度列入本级财政预算安排的项目。</w:t>
            </w:r>
          </w:p>
        </w:tc>
        <w:tc>
          <w:tcPr>
            <w:tcW w:w="3423" w:type="dxa"/>
            <w:tcBorders>
              <w:top w:val="single" w:color="000000" w:sz="4" w:space="0"/>
              <w:left w:val="single" w:color="auto" w:sz="4" w:space="0"/>
              <w:bottom w:val="single" w:color="auto" w:sz="4" w:space="0"/>
              <w:right w:val="single" w:color="auto" w:sz="4" w:space="0"/>
            </w:tcBorders>
            <w:vAlign w:val="center"/>
          </w:tcPr>
          <w:p w14:paraId="14A1802D">
            <w:pPr>
              <w:spacing w:line="68" w:lineRule="atLeast"/>
              <w:ind w:firstLine="0" w:firstLineChars="0"/>
              <w:rPr>
                <w:rFonts w:ascii="宋体" w:hAnsi="宋体" w:eastAsia="宋体" w:cs="宋体"/>
              </w:rPr>
            </w:pPr>
            <w:r>
              <w:rPr>
                <w:rFonts w:hint="eastAsia" w:ascii="宋体" w:hAnsi="宋体" w:eastAsia="宋体" w:cs="宋体"/>
              </w:rPr>
              <w:t>达到目标值得3分，未达到目标值采用完成比率法计分：得分=占比率/目标值×3，超过目标值不加分。</w:t>
            </w:r>
          </w:p>
        </w:tc>
        <w:tc>
          <w:tcPr>
            <w:tcW w:w="1090" w:type="dxa"/>
            <w:tcBorders>
              <w:top w:val="single" w:color="000000" w:sz="4" w:space="0"/>
              <w:left w:val="single" w:color="auto" w:sz="4" w:space="0"/>
              <w:bottom w:val="single" w:color="auto" w:sz="4" w:space="0"/>
              <w:right w:val="single" w:color="000000" w:sz="4" w:space="0"/>
            </w:tcBorders>
            <w:vAlign w:val="center"/>
          </w:tcPr>
          <w:p w14:paraId="10E2D488">
            <w:pPr>
              <w:spacing w:line="68" w:lineRule="atLeast"/>
              <w:ind w:firstLine="0" w:firstLineChars="0"/>
              <w:rPr>
                <w:rFonts w:ascii="宋体" w:hAnsi="宋体" w:eastAsia="宋体" w:cs="宋体"/>
              </w:rPr>
            </w:pPr>
            <w:r>
              <w:rPr>
                <w:rFonts w:hint="eastAsia" w:ascii="宋体" w:hAnsi="宋体" w:eastAsia="宋体" w:cs="宋体"/>
              </w:rPr>
              <w:t>3</w:t>
            </w:r>
          </w:p>
        </w:tc>
      </w:tr>
      <w:tr w14:paraId="52C1C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7" w:hRule="atLeast"/>
          <w:jc w:val="center"/>
        </w:trPr>
        <w:tc>
          <w:tcPr>
            <w:tcW w:w="733" w:type="dxa"/>
            <w:vMerge w:val="restart"/>
            <w:tcBorders>
              <w:top w:val="single" w:color="000000" w:sz="4" w:space="0"/>
              <w:left w:val="single" w:color="000000" w:sz="4" w:space="0"/>
              <w:right w:val="single" w:color="000000" w:sz="4" w:space="0"/>
            </w:tcBorders>
            <w:vAlign w:val="center"/>
          </w:tcPr>
          <w:p w14:paraId="72A11D7A">
            <w:pPr>
              <w:spacing w:line="68" w:lineRule="atLeast"/>
              <w:ind w:firstLine="0" w:firstLineChars="0"/>
              <w:rPr>
                <w:rFonts w:ascii="宋体" w:hAnsi="宋体" w:eastAsia="宋体" w:cs="宋体"/>
              </w:rPr>
            </w:pPr>
          </w:p>
          <w:p w14:paraId="7344E3A6">
            <w:pPr>
              <w:spacing w:line="68" w:lineRule="atLeast"/>
              <w:ind w:firstLine="0" w:firstLineChars="0"/>
              <w:rPr>
                <w:rFonts w:ascii="宋体" w:hAnsi="宋体" w:eastAsia="宋体" w:cs="宋体"/>
              </w:rPr>
            </w:pPr>
          </w:p>
          <w:p w14:paraId="57816EFE">
            <w:pPr>
              <w:spacing w:line="68" w:lineRule="atLeast"/>
              <w:ind w:firstLine="0" w:firstLineChars="0"/>
              <w:rPr>
                <w:rFonts w:ascii="宋体" w:hAnsi="宋体" w:eastAsia="宋体" w:cs="宋体"/>
              </w:rPr>
            </w:pPr>
          </w:p>
          <w:p w14:paraId="4CE674B6">
            <w:pPr>
              <w:spacing w:line="68" w:lineRule="atLeast"/>
              <w:ind w:firstLine="0" w:firstLineChars="0"/>
              <w:rPr>
                <w:rFonts w:ascii="宋体" w:hAnsi="宋体" w:eastAsia="宋体" w:cs="宋体"/>
              </w:rPr>
            </w:pPr>
          </w:p>
          <w:p w14:paraId="61A54290">
            <w:pPr>
              <w:spacing w:line="68" w:lineRule="atLeast"/>
              <w:ind w:firstLine="0" w:firstLineChars="0"/>
              <w:rPr>
                <w:rFonts w:ascii="宋体" w:hAnsi="宋体" w:eastAsia="宋体" w:cs="宋体"/>
              </w:rPr>
            </w:pPr>
          </w:p>
          <w:p w14:paraId="709A4E74">
            <w:pPr>
              <w:spacing w:line="68" w:lineRule="atLeast"/>
              <w:ind w:firstLine="0" w:firstLineChars="0"/>
              <w:rPr>
                <w:rFonts w:ascii="宋体" w:hAnsi="宋体" w:eastAsia="宋体" w:cs="宋体"/>
              </w:rPr>
            </w:pPr>
          </w:p>
          <w:p w14:paraId="25BE2AC5">
            <w:pPr>
              <w:spacing w:line="68" w:lineRule="atLeast"/>
              <w:ind w:firstLine="0" w:firstLineChars="0"/>
              <w:rPr>
                <w:rFonts w:ascii="宋体" w:hAnsi="宋体" w:eastAsia="宋体" w:cs="宋体"/>
              </w:rPr>
            </w:pPr>
          </w:p>
          <w:p w14:paraId="40BE3DC4">
            <w:pPr>
              <w:spacing w:line="68" w:lineRule="atLeast"/>
              <w:ind w:firstLine="0" w:firstLineChars="0"/>
              <w:rPr>
                <w:rFonts w:ascii="宋体" w:hAnsi="宋体" w:eastAsia="宋体" w:cs="宋体"/>
              </w:rPr>
            </w:pPr>
            <w:r>
              <w:rPr>
                <w:rFonts w:hint="eastAsia" w:ascii="宋体" w:hAnsi="宋体" w:eastAsia="宋体" w:cs="宋体"/>
              </w:rPr>
              <w:t>效果（15）</w:t>
            </w:r>
          </w:p>
          <w:p w14:paraId="08134C07">
            <w:pPr>
              <w:spacing w:line="68" w:lineRule="atLeast"/>
              <w:ind w:firstLine="0" w:firstLineChars="0"/>
              <w:rPr>
                <w:rFonts w:ascii="宋体" w:hAnsi="宋体" w:eastAsia="宋体" w:cs="宋体"/>
              </w:rPr>
            </w:pPr>
          </w:p>
          <w:p w14:paraId="5AFC0589">
            <w:pPr>
              <w:spacing w:line="68" w:lineRule="atLeast"/>
              <w:ind w:firstLine="0" w:firstLineChars="0"/>
              <w:rPr>
                <w:rFonts w:ascii="宋体" w:hAnsi="宋体" w:eastAsia="宋体" w:cs="宋体"/>
              </w:rPr>
            </w:pPr>
          </w:p>
          <w:p w14:paraId="75FE5202">
            <w:pPr>
              <w:spacing w:line="68" w:lineRule="atLeast"/>
              <w:ind w:firstLine="0" w:firstLineChars="0"/>
              <w:rPr>
                <w:rFonts w:ascii="宋体" w:hAnsi="宋体" w:eastAsia="宋体" w:cs="宋体"/>
              </w:rPr>
            </w:pPr>
          </w:p>
          <w:p w14:paraId="79EA88B2">
            <w:pPr>
              <w:spacing w:line="68" w:lineRule="atLeast"/>
              <w:ind w:firstLine="0" w:firstLineChars="0"/>
              <w:rPr>
                <w:rFonts w:ascii="宋体" w:hAnsi="宋体" w:eastAsia="宋体" w:cs="宋体"/>
              </w:rPr>
            </w:pPr>
          </w:p>
          <w:p w14:paraId="6C86838B">
            <w:pPr>
              <w:spacing w:line="68" w:lineRule="atLeast"/>
              <w:ind w:firstLine="0" w:firstLineChars="0"/>
              <w:rPr>
                <w:rFonts w:ascii="宋体" w:hAnsi="宋体" w:eastAsia="宋体" w:cs="宋体"/>
              </w:rPr>
            </w:pPr>
          </w:p>
          <w:p w14:paraId="23A9BF95">
            <w:pPr>
              <w:spacing w:line="68" w:lineRule="atLeast"/>
              <w:ind w:firstLine="0" w:firstLineChars="0"/>
              <w:rPr>
                <w:rFonts w:ascii="宋体" w:hAnsi="宋体" w:eastAsia="宋体" w:cs="宋体"/>
              </w:rPr>
            </w:pPr>
          </w:p>
          <w:p w14:paraId="19CC8F08">
            <w:pPr>
              <w:spacing w:line="68" w:lineRule="atLeast"/>
              <w:ind w:firstLine="0" w:firstLineChars="0"/>
              <w:rPr>
                <w:rFonts w:ascii="宋体" w:hAnsi="宋体" w:eastAsia="宋体" w:cs="宋体"/>
              </w:rPr>
            </w:pPr>
          </w:p>
          <w:p w14:paraId="113AD74F">
            <w:pPr>
              <w:spacing w:line="68" w:lineRule="atLeast"/>
              <w:ind w:firstLine="0" w:firstLineChars="0"/>
              <w:rPr>
                <w:rFonts w:ascii="宋体" w:hAnsi="宋体" w:eastAsia="宋体" w:cs="宋体"/>
              </w:rPr>
            </w:pPr>
          </w:p>
          <w:p w14:paraId="70C1BAB9">
            <w:pPr>
              <w:spacing w:line="68" w:lineRule="atLeast"/>
              <w:ind w:firstLine="0" w:firstLineChars="0"/>
              <w:rPr>
                <w:rFonts w:ascii="宋体" w:hAnsi="宋体" w:eastAsia="宋体" w:cs="宋体"/>
              </w:rPr>
            </w:pPr>
          </w:p>
          <w:p w14:paraId="6E9068F7">
            <w:pPr>
              <w:spacing w:line="68" w:lineRule="atLeast"/>
              <w:ind w:firstLine="0" w:firstLineChars="0"/>
              <w:rPr>
                <w:rFonts w:ascii="宋体" w:hAnsi="宋体" w:eastAsia="宋体" w:cs="宋体"/>
              </w:rPr>
            </w:pPr>
          </w:p>
          <w:p w14:paraId="28E0D667">
            <w:pPr>
              <w:spacing w:line="68" w:lineRule="atLeast"/>
              <w:ind w:firstLine="0" w:firstLineChars="0"/>
              <w:rPr>
                <w:rFonts w:ascii="宋体" w:hAnsi="宋体" w:eastAsia="宋体" w:cs="宋体"/>
              </w:rPr>
            </w:pPr>
          </w:p>
          <w:p w14:paraId="5C7304E4">
            <w:pPr>
              <w:spacing w:line="68" w:lineRule="atLeast"/>
              <w:ind w:firstLine="0" w:firstLineChars="0"/>
              <w:rPr>
                <w:rFonts w:ascii="宋体" w:hAnsi="宋体" w:eastAsia="宋体" w:cs="宋体"/>
              </w:rPr>
            </w:pPr>
          </w:p>
          <w:p w14:paraId="4BD66CC5">
            <w:pPr>
              <w:spacing w:line="68" w:lineRule="atLeast"/>
              <w:ind w:firstLine="0" w:firstLineChars="0"/>
              <w:rPr>
                <w:rFonts w:ascii="宋体" w:hAnsi="宋体" w:eastAsia="宋体" w:cs="宋体"/>
              </w:rPr>
            </w:pPr>
          </w:p>
          <w:p w14:paraId="010A24CC">
            <w:pPr>
              <w:spacing w:line="68" w:lineRule="atLeast"/>
              <w:ind w:firstLine="0" w:firstLineChars="0"/>
              <w:rPr>
                <w:rFonts w:ascii="宋体" w:hAnsi="宋体" w:eastAsia="宋体" w:cs="宋体"/>
              </w:rPr>
            </w:pPr>
          </w:p>
          <w:p w14:paraId="469F8ED9">
            <w:pPr>
              <w:spacing w:line="68" w:lineRule="atLeast"/>
              <w:ind w:firstLine="0" w:firstLineChars="0"/>
              <w:rPr>
                <w:rFonts w:ascii="宋体" w:hAnsi="宋体" w:eastAsia="宋体" w:cs="宋体"/>
              </w:rPr>
            </w:pPr>
          </w:p>
          <w:p w14:paraId="29F2C1F3">
            <w:pPr>
              <w:spacing w:line="68" w:lineRule="atLeast"/>
              <w:ind w:firstLine="0" w:firstLineChars="0"/>
              <w:rPr>
                <w:rFonts w:ascii="宋体" w:hAnsi="宋体" w:eastAsia="宋体" w:cs="宋体"/>
              </w:rPr>
            </w:pPr>
          </w:p>
          <w:p w14:paraId="55473D35">
            <w:pPr>
              <w:spacing w:line="68" w:lineRule="atLeast"/>
              <w:ind w:firstLine="0" w:firstLineChars="0"/>
              <w:rPr>
                <w:rFonts w:ascii="宋体" w:hAnsi="宋体" w:eastAsia="宋体" w:cs="宋体"/>
              </w:rPr>
            </w:pPr>
            <w:r>
              <w:rPr>
                <w:rFonts w:hint="eastAsia" w:ascii="宋体" w:hAnsi="宋体" w:eastAsia="宋体" w:cs="宋体"/>
              </w:rPr>
              <w:t>效果（15）</w:t>
            </w:r>
          </w:p>
          <w:p w14:paraId="7083036C">
            <w:pPr>
              <w:spacing w:line="68" w:lineRule="atLeast"/>
              <w:ind w:firstLine="0" w:firstLineChars="0"/>
              <w:rPr>
                <w:rFonts w:ascii="宋体" w:hAnsi="宋体" w:eastAsia="宋体" w:cs="宋体"/>
              </w:rPr>
            </w:pPr>
          </w:p>
        </w:tc>
        <w:tc>
          <w:tcPr>
            <w:tcW w:w="803" w:type="dxa"/>
            <w:tcBorders>
              <w:top w:val="single" w:color="auto" w:sz="4" w:space="0"/>
              <w:left w:val="single" w:color="000000" w:sz="4" w:space="0"/>
              <w:bottom w:val="single" w:color="auto" w:sz="4" w:space="0"/>
              <w:right w:val="single" w:color="000000" w:sz="4" w:space="0"/>
            </w:tcBorders>
            <w:vAlign w:val="center"/>
          </w:tcPr>
          <w:p w14:paraId="7C73B0FE">
            <w:pPr>
              <w:spacing w:line="68" w:lineRule="atLeast"/>
              <w:ind w:firstLine="0" w:firstLineChars="0"/>
              <w:rPr>
                <w:rFonts w:ascii="宋体" w:hAnsi="宋体" w:eastAsia="宋体" w:cs="宋体"/>
              </w:rPr>
            </w:pPr>
            <w:r>
              <w:rPr>
                <w:rFonts w:hint="eastAsia" w:ascii="宋体" w:hAnsi="宋体" w:eastAsia="宋体" w:cs="宋体"/>
              </w:rPr>
              <w:t>监督发现问题</w:t>
            </w:r>
          </w:p>
          <w:p w14:paraId="141977BF">
            <w:pPr>
              <w:spacing w:line="68" w:lineRule="atLeast"/>
              <w:ind w:firstLine="0" w:firstLineChars="0"/>
              <w:rPr>
                <w:rFonts w:ascii="宋体" w:hAnsi="宋体" w:eastAsia="宋体" w:cs="宋体"/>
              </w:rPr>
            </w:pPr>
            <w:r>
              <w:rPr>
                <w:rFonts w:hint="eastAsia" w:ascii="宋体" w:hAnsi="宋体" w:eastAsia="宋体" w:cs="宋体"/>
              </w:rPr>
              <w:t>（2分）</w:t>
            </w:r>
          </w:p>
        </w:tc>
        <w:tc>
          <w:tcPr>
            <w:tcW w:w="1182" w:type="dxa"/>
            <w:tcBorders>
              <w:top w:val="single" w:color="000000" w:sz="4" w:space="0"/>
              <w:left w:val="single" w:color="000000" w:sz="4" w:space="0"/>
              <w:bottom w:val="single" w:color="000000" w:sz="4" w:space="0"/>
              <w:right w:val="single" w:color="auto" w:sz="4" w:space="0"/>
            </w:tcBorders>
            <w:vAlign w:val="center"/>
          </w:tcPr>
          <w:p w14:paraId="2E0E14F0">
            <w:pPr>
              <w:spacing w:line="68" w:lineRule="atLeast"/>
              <w:ind w:firstLine="0" w:firstLineChars="0"/>
              <w:rPr>
                <w:rFonts w:ascii="宋体" w:hAnsi="宋体" w:eastAsia="宋体" w:cs="宋体"/>
              </w:rPr>
            </w:pPr>
            <w:r>
              <w:rPr>
                <w:rFonts w:hint="eastAsia" w:ascii="宋体" w:hAnsi="宋体" w:eastAsia="宋体" w:cs="宋体"/>
              </w:rPr>
              <w:t>违规率（2分）</w:t>
            </w:r>
          </w:p>
        </w:tc>
        <w:tc>
          <w:tcPr>
            <w:tcW w:w="6911" w:type="dxa"/>
            <w:tcBorders>
              <w:top w:val="single" w:color="000000" w:sz="4" w:space="0"/>
              <w:left w:val="single" w:color="auto" w:sz="4" w:space="0"/>
              <w:bottom w:val="single" w:color="000000" w:sz="4" w:space="0"/>
              <w:right w:val="single" w:color="auto" w:sz="4" w:space="0"/>
            </w:tcBorders>
            <w:vAlign w:val="center"/>
          </w:tcPr>
          <w:p w14:paraId="36CE7CD2">
            <w:pPr>
              <w:spacing w:line="68" w:lineRule="atLeast"/>
              <w:ind w:firstLine="0" w:firstLineChars="0"/>
              <w:rPr>
                <w:rFonts w:ascii="宋体" w:hAnsi="宋体" w:eastAsia="宋体" w:cs="宋体"/>
              </w:rPr>
            </w:pPr>
            <w:r>
              <w:rPr>
                <w:rFonts w:hint="eastAsia" w:ascii="宋体" w:hAnsi="宋体" w:eastAsia="宋体" w:cs="宋体"/>
              </w:rPr>
              <w:t>部门存在违规问题的资金数量占部门预算支出资金总额的比重，用以反映和考核部门预算资金管理使用的合法、合规情况。</w:t>
            </w:r>
          </w:p>
          <w:p w14:paraId="2D7AA0D2">
            <w:pPr>
              <w:spacing w:line="68" w:lineRule="atLeast"/>
              <w:ind w:firstLine="0" w:firstLineChars="0"/>
              <w:rPr>
                <w:rFonts w:ascii="宋体" w:hAnsi="宋体" w:eastAsia="宋体" w:cs="宋体"/>
              </w:rPr>
            </w:pPr>
            <w:r>
              <w:rPr>
                <w:rFonts w:hint="eastAsia" w:ascii="宋体" w:hAnsi="宋体" w:eastAsia="宋体" w:cs="宋体"/>
              </w:rPr>
              <w:t>违规率=存在违规问题的资金额/部门预算支出资金总额×100%</w:t>
            </w:r>
          </w:p>
        </w:tc>
        <w:tc>
          <w:tcPr>
            <w:tcW w:w="3423" w:type="dxa"/>
            <w:tcBorders>
              <w:top w:val="single" w:color="000000" w:sz="4" w:space="0"/>
              <w:left w:val="single" w:color="auto" w:sz="4" w:space="0"/>
              <w:bottom w:val="single" w:color="000000" w:sz="4" w:space="0"/>
              <w:right w:val="single" w:color="auto" w:sz="4" w:space="0"/>
            </w:tcBorders>
            <w:vAlign w:val="center"/>
          </w:tcPr>
          <w:p w14:paraId="2C47BB29">
            <w:pPr>
              <w:spacing w:line="240" w:lineRule="exact"/>
              <w:ind w:firstLine="0" w:firstLineChars="0"/>
              <w:rPr>
                <w:rFonts w:ascii="宋体" w:hAnsi="宋体" w:eastAsia="宋体" w:cs="宋体"/>
              </w:rPr>
            </w:pPr>
            <w:r>
              <w:rPr>
                <w:rFonts w:hint="eastAsia" w:ascii="宋体" w:hAnsi="宋体" w:eastAsia="宋体" w:cs="宋体"/>
              </w:rPr>
              <w:t>目标值0，达到目标值得2分，未达到目标值的每增加0.1个百分点扣0.1分</w:t>
            </w:r>
          </w:p>
        </w:tc>
        <w:tc>
          <w:tcPr>
            <w:tcW w:w="1090" w:type="dxa"/>
            <w:tcBorders>
              <w:top w:val="single" w:color="000000" w:sz="4" w:space="0"/>
              <w:left w:val="single" w:color="auto" w:sz="4" w:space="0"/>
              <w:bottom w:val="single" w:color="000000" w:sz="4" w:space="0"/>
              <w:right w:val="single" w:color="000000" w:sz="4" w:space="0"/>
            </w:tcBorders>
            <w:vAlign w:val="center"/>
          </w:tcPr>
          <w:p w14:paraId="6180B55E">
            <w:pPr>
              <w:spacing w:line="68" w:lineRule="atLeast"/>
              <w:ind w:firstLine="0" w:firstLineChars="0"/>
              <w:rPr>
                <w:rFonts w:ascii="宋体" w:hAnsi="宋体" w:eastAsia="宋体" w:cs="宋体"/>
              </w:rPr>
            </w:pPr>
            <w:r>
              <w:rPr>
                <w:rFonts w:hint="eastAsia" w:ascii="宋体" w:hAnsi="宋体" w:eastAsia="宋体" w:cs="宋体"/>
              </w:rPr>
              <w:t> </w:t>
            </w:r>
            <w:r>
              <w:rPr>
                <w:rFonts w:ascii="宋体" w:hAnsi="宋体" w:eastAsia="宋体" w:cs="宋体"/>
              </w:rPr>
              <w:t>2</w:t>
            </w:r>
          </w:p>
        </w:tc>
      </w:tr>
      <w:tr w14:paraId="77C17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5" w:hRule="atLeast"/>
          <w:jc w:val="center"/>
        </w:trPr>
        <w:tc>
          <w:tcPr>
            <w:tcW w:w="733" w:type="dxa"/>
            <w:vMerge w:val="continue"/>
            <w:tcBorders>
              <w:left w:val="single" w:color="000000" w:sz="4" w:space="0"/>
              <w:right w:val="single" w:color="000000" w:sz="4" w:space="0"/>
            </w:tcBorders>
            <w:vAlign w:val="center"/>
          </w:tcPr>
          <w:p w14:paraId="103C6EFB">
            <w:pPr>
              <w:spacing w:line="68" w:lineRule="atLeast"/>
              <w:ind w:firstLine="0" w:firstLineChars="0"/>
              <w:rPr>
                <w:rFonts w:ascii="宋体" w:hAnsi="宋体" w:eastAsia="宋体" w:cs="宋体"/>
              </w:rPr>
            </w:pPr>
          </w:p>
        </w:tc>
        <w:tc>
          <w:tcPr>
            <w:tcW w:w="803" w:type="dxa"/>
            <w:tcBorders>
              <w:top w:val="single" w:color="auto" w:sz="4" w:space="0"/>
              <w:left w:val="single" w:color="000000" w:sz="4" w:space="0"/>
              <w:bottom w:val="single" w:color="auto" w:sz="4" w:space="0"/>
              <w:right w:val="single" w:color="000000" w:sz="4" w:space="0"/>
            </w:tcBorders>
            <w:vAlign w:val="center"/>
          </w:tcPr>
          <w:p w14:paraId="09FEEE33">
            <w:pPr>
              <w:spacing w:line="68" w:lineRule="atLeast"/>
              <w:ind w:firstLine="0" w:firstLineChars="0"/>
              <w:rPr>
                <w:rFonts w:ascii="宋体" w:hAnsi="宋体" w:eastAsia="宋体" w:cs="宋体"/>
              </w:rPr>
            </w:pPr>
            <w:r>
              <w:rPr>
                <w:rFonts w:hint="eastAsia" w:ascii="宋体" w:hAnsi="宋体" w:eastAsia="宋体" w:cs="宋体"/>
              </w:rPr>
              <w:t>工作成效（5）</w:t>
            </w:r>
          </w:p>
        </w:tc>
        <w:tc>
          <w:tcPr>
            <w:tcW w:w="1182" w:type="dxa"/>
            <w:tcBorders>
              <w:top w:val="single" w:color="000000" w:sz="4" w:space="0"/>
              <w:left w:val="single" w:color="000000" w:sz="4" w:space="0"/>
              <w:bottom w:val="single" w:color="000000" w:sz="4" w:space="0"/>
              <w:right w:val="single" w:color="auto" w:sz="4" w:space="0"/>
            </w:tcBorders>
            <w:vAlign w:val="center"/>
          </w:tcPr>
          <w:p w14:paraId="30EE1988">
            <w:pPr>
              <w:spacing w:line="68" w:lineRule="atLeast"/>
              <w:ind w:firstLine="0" w:firstLineChars="0"/>
              <w:rPr>
                <w:rFonts w:ascii="宋体" w:hAnsi="宋体" w:eastAsia="宋体" w:cs="宋体"/>
              </w:rPr>
            </w:pPr>
            <w:r>
              <w:rPr>
                <w:rFonts w:hint="eastAsia" w:ascii="宋体" w:hAnsi="宋体" w:eastAsia="宋体" w:cs="宋体"/>
                <w:bCs/>
                <w:color w:val="000000"/>
              </w:rPr>
              <w:t>部门预算绩效管理考核评价</w:t>
            </w:r>
            <w:r>
              <w:rPr>
                <w:rFonts w:hint="eastAsia" w:ascii="宋体" w:hAnsi="宋体" w:eastAsia="宋体" w:cs="宋体"/>
                <w:bCs/>
              </w:rPr>
              <w:t>（5）</w:t>
            </w:r>
          </w:p>
        </w:tc>
        <w:tc>
          <w:tcPr>
            <w:tcW w:w="6911" w:type="dxa"/>
            <w:tcBorders>
              <w:top w:val="single" w:color="000000" w:sz="4" w:space="0"/>
              <w:left w:val="single" w:color="auto" w:sz="4" w:space="0"/>
              <w:bottom w:val="single" w:color="000000" w:sz="4" w:space="0"/>
              <w:right w:val="single" w:color="auto" w:sz="4" w:space="0"/>
            </w:tcBorders>
            <w:vAlign w:val="center"/>
          </w:tcPr>
          <w:p w14:paraId="56E67EB4">
            <w:pPr>
              <w:spacing w:line="240" w:lineRule="exact"/>
              <w:ind w:firstLine="0" w:firstLineChars="0"/>
              <w:rPr>
                <w:rFonts w:ascii="宋体" w:hAnsi="宋体" w:eastAsia="宋体" w:cs="宋体"/>
              </w:rPr>
            </w:pPr>
            <w:r>
              <w:rPr>
                <w:rFonts w:hint="eastAsia" w:ascii="宋体" w:hAnsi="宋体" w:eastAsia="宋体" w:cs="宋体"/>
                <w:color w:val="000000"/>
              </w:rPr>
              <w:t>财政部门对部门开展预算绩效管理工作的评价结果，用以反映部门对预算绩效管理工作的重视程度和取得的成效。</w:t>
            </w:r>
          </w:p>
          <w:p w14:paraId="3722EC57">
            <w:pPr>
              <w:spacing w:line="240" w:lineRule="exact"/>
              <w:ind w:firstLine="0" w:firstLineChars="0"/>
              <w:rPr>
                <w:rFonts w:ascii="宋体" w:hAnsi="宋体" w:eastAsia="宋体" w:cs="宋体"/>
              </w:rPr>
            </w:pPr>
            <w:r>
              <w:rPr>
                <w:rFonts w:hint="eastAsia" w:ascii="宋体" w:hAnsi="宋体" w:eastAsia="宋体" w:cs="宋体"/>
                <w:color w:val="000000"/>
              </w:rPr>
              <w:t>1.财政部门对部门绩效管理工作开展情况进行核查评价，包括绩效目标管理、绩效执行监控、绩效自评和评价结果应用等情况，按百分制。</w:t>
            </w:r>
          </w:p>
          <w:p w14:paraId="1C8A5BC6">
            <w:pPr>
              <w:spacing w:line="68" w:lineRule="atLeast"/>
              <w:ind w:firstLine="0" w:firstLineChars="0"/>
              <w:rPr>
                <w:rFonts w:ascii="宋体" w:hAnsi="宋体" w:eastAsia="宋体" w:cs="宋体"/>
              </w:rPr>
            </w:pPr>
            <w:r>
              <w:rPr>
                <w:rFonts w:hint="eastAsia" w:ascii="宋体" w:hAnsi="宋体" w:eastAsia="宋体" w:cs="宋体"/>
                <w:color w:val="000000"/>
              </w:rPr>
              <w:t>2.以部门为单位进行综合计算，得出各部门绩效管理工作评价结果。</w:t>
            </w:r>
          </w:p>
        </w:tc>
        <w:tc>
          <w:tcPr>
            <w:tcW w:w="3423" w:type="dxa"/>
            <w:tcBorders>
              <w:top w:val="single" w:color="000000" w:sz="4" w:space="0"/>
              <w:left w:val="single" w:color="auto" w:sz="4" w:space="0"/>
              <w:bottom w:val="single" w:color="000000" w:sz="4" w:space="0"/>
              <w:right w:val="single" w:color="auto" w:sz="4" w:space="0"/>
            </w:tcBorders>
            <w:vAlign w:val="center"/>
          </w:tcPr>
          <w:p w14:paraId="7F6EC317">
            <w:pPr>
              <w:spacing w:line="240" w:lineRule="exact"/>
              <w:ind w:firstLine="0" w:firstLineChars="0"/>
              <w:rPr>
                <w:rFonts w:ascii="宋体" w:hAnsi="宋体" w:eastAsia="宋体" w:cs="宋体"/>
              </w:rPr>
            </w:pPr>
            <w:r>
              <w:rPr>
                <w:rFonts w:hint="eastAsia" w:ascii="宋体" w:hAnsi="宋体" w:eastAsia="宋体" w:cs="宋体"/>
                <w:color w:val="000000"/>
              </w:rPr>
              <w:t>综合得分=（部门绩效管理工作评价结果/100）*5分</w:t>
            </w:r>
          </w:p>
          <w:p w14:paraId="191BCF0C">
            <w:pPr>
              <w:spacing w:line="68" w:lineRule="atLeast"/>
              <w:ind w:firstLine="0" w:firstLineChars="0"/>
              <w:rPr>
                <w:rFonts w:ascii="宋体" w:hAnsi="宋体" w:eastAsia="宋体" w:cs="宋体"/>
              </w:rPr>
            </w:pPr>
            <w:r>
              <w:rPr>
                <w:rFonts w:hint="eastAsia" w:ascii="宋体" w:hAnsi="宋体" w:eastAsia="宋体" w:cs="宋体"/>
              </w:rPr>
              <w:t> </w:t>
            </w:r>
          </w:p>
        </w:tc>
        <w:tc>
          <w:tcPr>
            <w:tcW w:w="1090" w:type="dxa"/>
            <w:tcBorders>
              <w:top w:val="single" w:color="000000" w:sz="4" w:space="0"/>
              <w:left w:val="single" w:color="auto" w:sz="4" w:space="0"/>
              <w:bottom w:val="single" w:color="000000" w:sz="4" w:space="0"/>
              <w:right w:val="single" w:color="000000" w:sz="4" w:space="0"/>
            </w:tcBorders>
            <w:vAlign w:val="center"/>
          </w:tcPr>
          <w:p w14:paraId="19108D8F">
            <w:pPr>
              <w:spacing w:line="68" w:lineRule="atLeast"/>
              <w:ind w:firstLine="0" w:firstLineChars="0"/>
              <w:rPr>
                <w:rFonts w:ascii="宋体" w:hAnsi="宋体" w:eastAsia="宋体" w:cs="宋体"/>
              </w:rPr>
            </w:pPr>
            <w:r>
              <w:rPr>
                <w:rFonts w:hint="eastAsia" w:ascii="宋体" w:hAnsi="宋体" w:eastAsia="宋体" w:cs="宋体"/>
              </w:rPr>
              <w:t>5</w:t>
            </w:r>
          </w:p>
        </w:tc>
      </w:tr>
      <w:tr w14:paraId="5DF4D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7" w:hRule="atLeast"/>
          <w:jc w:val="center"/>
        </w:trPr>
        <w:tc>
          <w:tcPr>
            <w:tcW w:w="733" w:type="dxa"/>
            <w:vMerge w:val="continue"/>
            <w:tcBorders>
              <w:left w:val="single" w:color="000000" w:sz="4" w:space="0"/>
              <w:right w:val="single" w:color="000000" w:sz="4" w:space="0"/>
            </w:tcBorders>
            <w:vAlign w:val="center"/>
          </w:tcPr>
          <w:p w14:paraId="23E38F7D">
            <w:pPr>
              <w:ind w:firstLine="0" w:firstLineChars="0"/>
              <w:rPr>
                <w:rFonts w:ascii="宋体" w:hAnsi="宋体" w:eastAsia="宋体" w:cs="宋体"/>
              </w:rPr>
            </w:pPr>
          </w:p>
        </w:tc>
        <w:tc>
          <w:tcPr>
            <w:tcW w:w="803" w:type="dxa"/>
            <w:tcBorders>
              <w:top w:val="single" w:color="auto" w:sz="4" w:space="0"/>
              <w:left w:val="single" w:color="000000" w:sz="4" w:space="0"/>
              <w:bottom w:val="single" w:color="auto" w:sz="4" w:space="0"/>
              <w:right w:val="single" w:color="000000" w:sz="4" w:space="0"/>
            </w:tcBorders>
            <w:vAlign w:val="center"/>
          </w:tcPr>
          <w:p w14:paraId="41C3A45F">
            <w:pPr>
              <w:spacing w:line="68" w:lineRule="atLeast"/>
              <w:ind w:firstLine="0" w:firstLineChars="0"/>
              <w:rPr>
                <w:rFonts w:ascii="宋体" w:hAnsi="宋体" w:eastAsia="宋体" w:cs="宋体"/>
              </w:rPr>
            </w:pPr>
            <w:r>
              <w:rPr>
                <w:rFonts w:hint="eastAsia" w:ascii="宋体" w:hAnsi="宋体" w:eastAsia="宋体" w:cs="宋体"/>
              </w:rPr>
              <w:t>评价结果应用</w:t>
            </w:r>
          </w:p>
          <w:p w14:paraId="13129DC1">
            <w:pPr>
              <w:spacing w:line="68" w:lineRule="atLeast"/>
              <w:ind w:firstLine="0" w:firstLineChars="0"/>
              <w:rPr>
                <w:rFonts w:ascii="宋体" w:hAnsi="宋体" w:eastAsia="宋体" w:cs="宋体"/>
              </w:rPr>
            </w:pPr>
            <w:r>
              <w:rPr>
                <w:rFonts w:hint="eastAsia" w:ascii="宋体" w:hAnsi="宋体" w:eastAsia="宋体" w:cs="宋体"/>
              </w:rPr>
              <w:t>（2分）</w:t>
            </w:r>
          </w:p>
        </w:tc>
        <w:tc>
          <w:tcPr>
            <w:tcW w:w="1182" w:type="dxa"/>
            <w:tcBorders>
              <w:top w:val="single" w:color="000000" w:sz="4" w:space="0"/>
              <w:left w:val="single" w:color="000000" w:sz="4" w:space="0"/>
              <w:bottom w:val="single" w:color="000000" w:sz="4" w:space="0"/>
              <w:right w:val="single" w:color="auto" w:sz="4" w:space="0"/>
            </w:tcBorders>
            <w:vAlign w:val="center"/>
          </w:tcPr>
          <w:p w14:paraId="00D3EA30">
            <w:pPr>
              <w:spacing w:line="68" w:lineRule="atLeast"/>
              <w:ind w:firstLine="0" w:firstLineChars="0"/>
              <w:rPr>
                <w:rFonts w:ascii="宋体" w:hAnsi="宋体" w:eastAsia="宋体" w:cs="宋体"/>
              </w:rPr>
            </w:pPr>
            <w:r>
              <w:rPr>
                <w:rFonts w:hint="eastAsia" w:ascii="宋体" w:hAnsi="宋体" w:eastAsia="宋体" w:cs="宋体"/>
              </w:rPr>
              <w:t>应用率（2分）</w:t>
            </w:r>
          </w:p>
        </w:tc>
        <w:tc>
          <w:tcPr>
            <w:tcW w:w="6911" w:type="dxa"/>
            <w:tcBorders>
              <w:top w:val="single" w:color="000000" w:sz="4" w:space="0"/>
              <w:left w:val="single" w:color="auto" w:sz="4" w:space="0"/>
              <w:bottom w:val="single" w:color="000000" w:sz="4" w:space="0"/>
              <w:right w:val="single" w:color="auto" w:sz="4" w:space="0"/>
            </w:tcBorders>
            <w:vAlign w:val="center"/>
          </w:tcPr>
          <w:p w14:paraId="38FE9946">
            <w:pPr>
              <w:spacing w:line="68" w:lineRule="atLeast"/>
              <w:ind w:firstLine="0" w:firstLineChars="0"/>
              <w:rPr>
                <w:rFonts w:ascii="宋体" w:hAnsi="宋体" w:eastAsia="宋体" w:cs="宋体"/>
              </w:rPr>
            </w:pPr>
            <w:r>
              <w:rPr>
                <w:rFonts w:hint="eastAsia" w:ascii="宋体" w:hAnsi="宋体" w:eastAsia="宋体" w:cs="宋体"/>
              </w:rPr>
              <w:t>部门应用绩效评价结果的项目数占绩效评价项目数的比重，用以反映和考核部门绩效评价结果的利用水平和程度。</w:t>
            </w:r>
          </w:p>
          <w:p w14:paraId="00D143AA">
            <w:pPr>
              <w:spacing w:line="68" w:lineRule="atLeast"/>
              <w:ind w:firstLine="0" w:firstLineChars="0"/>
              <w:rPr>
                <w:rFonts w:ascii="宋体" w:hAnsi="宋体" w:eastAsia="宋体" w:cs="宋体"/>
              </w:rPr>
            </w:pPr>
            <w:r>
              <w:rPr>
                <w:rFonts w:hint="eastAsia" w:ascii="宋体" w:hAnsi="宋体" w:eastAsia="宋体" w:cs="宋体"/>
              </w:rPr>
              <w:t>应用率=应用绩效评价结果的项目数量/部门实施绩效评价项目数量×100%。</w:t>
            </w:r>
          </w:p>
          <w:p w14:paraId="3883F918">
            <w:pPr>
              <w:spacing w:line="68" w:lineRule="atLeast"/>
              <w:ind w:firstLine="0" w:firstLineChars="0"/>
              <w:rPr>
                <w:rFonts w:ascii="宋体" w:hAnsi="宋体" w:eastAsia="宋体" w:cs="宋体"/>
              </w:rPr>
            </w:pPr>
            <w:r>
              <w:rPr>
                <w:rFonts w:hint="eastAsia" w:ascii="宋体" w:hAnsi="宋体" w:eastAsia="宋体" w:cs="宋体"/>
              </w:rPr>
              <w:t>应用绩效评价结果包括向财政部门报告绩效评价结果、向被评价单位反馈绩效评价结果、内部公开绩效评价结果和落实整改措施等方面，其中，落实整改措施包括调整预算结构、改革预算管理、整改发现问题、健全制度措施和实施绩效问责。</w:t>
            </w:r>
          </w:p>
        </w:tc>
        <w:tc>
          <w:tcPr>
            <w:tcW w:w="3423" w:type="dxa"/>
            <w:tcBorders>
              <w:top w:val="single" w:color="000000" w:sz="4" w:space="0"/>
              <w:left w:val="single" w:color="auto" w:sz="4" w:space="0"/>
              <w:bottom w:val="single" w:color="000000" w:sz="4" w:space="0"/>
              <w:right w:val="single" w:color="auto" w:sz="4" w:space="0"/>
            </w:tcBorders>
            <w:vAlign w:val="center"/>
          </w:tcPr>
          <w:p w14:paraId="00EED254">
            <w:pPr>
              <w:spacing w:line="240" w:lineRule="exact"/>
              <w:ind w:firstLine="0" w:firstLineChars="0"/>
              <w:rPr>
                <w:rFonts w:ascii="宋体" w:hAnsi="宋体" w:eastAsia="宋体" w:cs="宋体"/>
              </w:rPr>
            </w:pPr>
            <w:r>
              <w:rPr>
                <w:rFonts w:hint="eastAsia" w:ascii="宋体" w:hAnsi="宋体" w:eastAsia="宋体" w:cs="宋体"/>
              </w:rPr>
              <w:t>目标值为100%；以2分为上限，采用完成比率法计分：得分=应用率×2，超出目标值不加分。</w:t>
            </w:r>
          </w:p>
        </w:tc>
        <w:tc>
          <w:tcPr>
            <w:tcW w:w="1090" w:type="dxa"/>
            <w:tcBorders>
              <w:top w:val="single" w:color="000000" w:sz="4" w:space="0"/>
              <w:left w:val="single" w:color="auto" w:sz="4" w:space="0"/>
              <w:bottom w:val="single" w:color="000000" w:sz="4" w:space="0"/>
              <w:right w:val="single" w:color="000000" w:sz="4" w:space="0"/>
            </w:tcBorders>
            <w:vAlign w:val="center"/>
          </w:tcPr>
          <w:p w14:paraId="21A8ECC5">
            <w:pPr>
              <w:spacing w:line="68" w:lineRule="atLeast"/>
              <w:ind w:firstLine="0" w:firstLineChars="0"/>
              <w:rPr>
                <w:rFonts w:ascii="宋体" w:hAnsi="宋体" w:eastAsia="宋体" w:cs="宋体"/>
              </w:rPr>
            </w:pPr>
            <w:r>
              <w:rPr>
                <w:rFonts w:hint="eastAsia" w:ascii="宋体" w:hAnsi="宋体" w:eastAsia="宋体" w:cs="宋体"/>
              </w:rPr>
              <w:t>2</w:t>
            </w:r>
          </w:p>
        </w:tc>
      </w:tr>
      <w:tr w14:paraId="2056F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3" w:hRule="atLeast"/>
          <w:jc w:val="center"/>
        </w:trPr>
        <w:tc>
          <w:tcPr>
            <w:tcW w:w="733" w:type="dxa"/>
            <w:vMerge w:val="continue"/>
            <w:tcBorders>
              <w:left w:val="single" w:color="000000" w:sz="4" w:space="0"/>
              <w:right w:val="single" w:color="000000" w:sz="4" w:space="0"/>
            </w:tcBorders>
            <w:vAlign w:val="center"/>
          </w:tcPr>
          <w:p w14:paraId="6AD681FA">
            <w:pPr>
              <w:ind w:firstLine="0" w:firstLineChars="0"/>
              <w:rPr>
                <w:rFonts w:ascii="宋体" w:hAnsi="宋体" w:eastAsia="宋体" w:cs="宋体"/>
              </w:rPr>
            </w:pPr>
          </w:p>
        </w:tc>
        <w:tc>
          <w:tcPr>
            <w:tcW w:w="803" w:type="dxa"/>
            <w:tcBorders>
              <w:top w:val="single" w:color="auto" w:sz="4" w:space="0"/>
              <w:left w:val="single" w:color="000000" w:sz="4" w:space="0"/>
              <w:bottom w:val="single" w:color="auto" w:sz="4" w:space="0"/>
              <w:right w:val="single" w:color="000000" w:sz="4" w:space="0"/>
            </w:tcBorders>
            <w:vAlign w:val="center"/>
          </w:tcPr>
          <w:p w14:paraId="320DAB63">
            <w:pPr>
              <w:spacing w:line="68" w:lineRule="atLeast"/>
              <w:ind w:firstLine="0" w:firstLineChars="0"/>
              <w:rPr>
                <w:rFonts w:ascii="宋体" w:hAnsi="宋体" w:eastAsia="宋体" w:cs="宋体"/>
              </w:rPr>
            </w:pPr>
            <w:r>
              <w:rPr>
                <w:rFonts w:hint="eastAsia" w:ascii="宋体" w:hAnsi="宋体" w:eastAsia="宋体" w:cs="宋体"/>
              </w:rPr>
              <w:t>结果应用创新（1分）</w:t>
            </w:r>
          </w:p>
        </w:tc>
        <w:tc>
          <w:tcPr>
            <w:tcW w:w="1182" w:type="dxa"/>
            <w:tcBorders>
              <w:top w:val="single" w:color="000000" w:sz="4" w:space="0"/>
              <w:left w:val="single" w:color="000000" w:sz="4" w:space="0"/>
              <w:bottom w:val="single" w:color="000000" w:sz="4" w:space="0"/>
              <w:right w:val="single" w:color="auto" w:sz="4" w:space="0"/>
            </w:tcBorders>
            <w:vAlign w:val="center"/>
          </w:tcPr>
          <w:p w14:paraId="2A1DE335">
            <w:pPr>
              <w:spacing w:line="68" w:lineRule="atLeast"/>
              <w:ind w:firstLine="0" w:firstLineChars="0"/>
              <w:rPr>
                <w:rFonts w:ascii="宋体" w:hAnsi="宋体" w:eastAsia="宋体" w:cs="宋体"/>
              </w:rPr>
            </w:pPr>
            <w:r>
              <w:rPr>
                <w:rFonts w:hint="eastAsia" w:ascii="宋体" w:hAnsi="宋体" w:eastAsia="宋体" w:cs="宋体"/>
              </w:rPr>
              <w:t>结果应用创新（1分）</w:t>
            </w:r>
          </w:p>
        </w:tc>
        <w:tc>
          <w:tcPr>
            <w:tcW w:w="6911" w:type="dxa"/>
            <w:tcBorders>
              <w:top w:val="single" w:color="000000" w:sz="4" w:space="0"/>
              <w:left w:val="single" w:color="auto" w:sz="4" w:space="0"/>
              <w:bottom w:val="single" w:color="000000" w:sz="4" w:space="0"/>
              <w:right w:val="single" w:color="auto" w:sz="4" w:space="0"/>
            </w:tcBorders>
            <w:vAlign w:val="center"/>
          </w:tcPr>
          <w:p w14:paraId="41C114C6">
            <w:pPr>
              <w:spacing w:line="68" w:lineRule="atLeast"/>
              <w:ind w:firstLine="0" w:firstLineChars="0"/>
              <w:rPr>
                <w:rFonts w:ascii="宋体" w:hAnsi="宋体" w:eastAsia="宋体" w:cs="宋体"/>
              </w:rPr>
            </w:pPr>
            <w:r>
              <w:rPr>
                <w:rFonts w:hint="eastAsia" w:ascii="宋体" w:hAnsi="宋体" w:eastAsia="宋体" w:cs="宋体"/>
              </w:rPr>
              <w:t>部门将绩效结果主动对外公开、预算绩效管理工作开展情况向同级政府、人大等部门报告，用以反映和考核部门在结果应用方面的创新情况。</w:t>
            </w:r>
          </w:p>
          <w:p w14:paraId="5B12B2BA">
            <w:pPr>
              <w:spacing w:line="68" w:lineRule="atLeast"/>
              <w:ind w:firstLine="0" w:firstLineChars="0"/>
              <w:rPr>
                <w:rFonts w:ascii="宋体" w:hAnsi="宋体" w:eastAsia="宋体" w:cs="宋体"/>
              </w:rPr>
            </w:pPr>
            <w:r>
              <w:rPr>
                <w:rFonts w:hint="eastAsia" w:ascii="宋体" w:hAnsi="宋体" w:eastAsia="宋体" w:cs="宋体"/>
              </w:rPr>
              <w:t>评价要点：</w:t>
            </w:r>
          </w:p>
          <w:p w14:paraId="412618A5">
            <w:pPr>
              <w:spacing w:line="68" w:lineRule="atLeast"/>
              <w:ind w:firstLine="0" w:firstLineChars="0"/>
              <w:rPr>
                <w:rFonts w:ascii="宋体" w:hAnsi="宋体" w:eastAsia="宋体" w:cs="宋体"/>
              </w:rPr>
            </w:pPr>
            <w:r>
              <w:rPr>
                <w:rFonts w:hint="eastAsia" w:ascii="宋体" w:hAnsi="宋体" w:eastAsia="宋体" w:cs="宋体"/>
              </w:rPr>
              <w:t>1.部门是否按要求对社会公开绩效评价结果。</w:t>
            </w:r>
          </w:p>
          <w:p w14:paraId="2EC48D0B">
            <w:pPr>
              <w:spacing w:line="68" w:lineRule="atLeast"/>
              <w:ind w:firstLine="0" w:firstLineChars="0"/>
              <w:rPr>
                <w:rFonts w:ascii="宋体" w:hAnsi="宋体" w:eastAsia="宋体" w:cs="宋体"/>
              </w:rPr>
            </w:pPr>
            <w:r>
              <w:rPr>
                <w:rFonts w:hint="eastAsia" w:ascii="宋体" w:hAnsi="宋体" w:eastAsia="宋体" w:cs="宋体"/>
              </w:rPr>
              <w:t>2.部门是否将预算绩效管理工作开展情况向同级政府、人大等部门报告。</w:t>
            </w:r>
          </w:p>
        </w:tc>
        <w:tc>
          <w:tcPr>
            <w:tcW w:w="3423" w:type="dxa"/>
            <w:tcBorders>
              <w:top w:val="single" w:color="000000" w:sz="4" w:space="0"/>
              <w:left w:val="single" w:color="auto" w:sz="4" w:space="0"/>
              <w:bottom w:val="single" w:color="000000" w:sz="4" w:space="0"/>
              <w:right w:val="single" w:color="auto" w:sz="4" w:space="0"/>
            </w:tcBorders>
            <w:vAlign w:val="center"/>
          </w:tcPr>
          <w:p w14:paraId="50C7557D">
            <w:pPr>
              <w:spacing w:line="240" w:lineRule="exact"/>
              <w:ind w:firstLine="0" w:firstLineChars="0"/>
              <w:rPr>
                <w:rFonts w:ascii="宋体" w:hAnsi="宋体" w:eastAsia="宋体" w:cs="宋体"/>
              </w:rPr>
            </w:pPr>
            <w:r>
              <w:rPr>
                <w:rFonts w:hint="eastAsia" w:ascii="宋体" w:hAnsi="宋体" w:eastAsia="宋体" w:cs="宋体"/>
              </w:rPr>
              <w:t>全部符合（1分）；</w:t>
            </w:r>
          </w:p>
          <w:p w14:paraId="0D14DCCB">
            <w:pPr>
              <w:spacing w:line="240" w:lineRule="exact"/>
              <w:ind w:firstLine="0" w:firstLineChars="0"/>
              <w:rPr>
                <w:rFonts w:ascii="宋体" w:hAnsi="宋体" w:eastAsia="宋体" w:cs="宋体"/>
              </w:rPr>
            </w:pPr>
            <w:r>
              <w:rPr>
                <w:rFonts w:hint="eastAsia" w:ascii="宋体" w:hAnsi="宋体" w:eastAsia="宋体" w:cs="宋体"/>
              </w:rPr>
              <w:t>符合其中两项（0.5分）</w:t>
            </w:r>
          </w:p>
          <w:p w14:paraId="1DC9100B">
            <w:pPr>
              <w:spacing w:line="240" w:lineRule="exact"/>
              <w:ind w:firstLine="0" w:firstLineChars="0"/>
              <w:rPr>
                <w:rFonts w:ascii="宋体" w:hAnsi="宋体" w:eastAsia="宋体" w:cs="宋体"/>
              </w:rPr>
            </w:pPr>
            <w:r>
              <w:rPr>
                <w:rFonts w:hint="eastAsia" w:ascii="宋体" w:hAnsi="宋体" w:eastAsia="宋体" w:cs="宋体"/>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15988278">
            <w:pPr>
              <w:spacing w:line="68" w:lineRule="atLeast"/>
              <w:ind w:firstLine="0" w:firstLineChars="0"/>
              <w:rPr>
                <w:rFonts w:ascii="宋体" w:hAnsi="宋体" w:eastAsia="宋体" w:cs="宋体"/>
              </w:rPr>
            </w:pPr>
            <w:r>
              <w:rPr>
                <w:rFonts w:hint="eastAsia" w:ascii="宋体" w:hAnsi="宋体" w:eastAsia="宋体" w:cs="宋体"/>
              </w:rPr>
              <w:t>1</w:t>
            </w:r>
          </w:p>
        </w:tc>
      </w:tr>
      <w:tr w14:paraId="75269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8" w:hRule="atLeast"/>
          <w:jc w:val="center"/>
        </w:trPr>
        <w:tc>
          <w:tcPr>
            <w:tcW w:w="733" w:type="dxa"/>
            <w:vMerge w:val="continue"/>
            <w:tcBorders>
              <w:left w:val="single" w:color="000000" w:sz="4" w:space="0"/>
              <w:right w:val="single" w:color="000000" w:sz="4" w:space="0"/>
            </w:tcBorders>
            <w:vAlign w:val="center"/>
          </w:tcPr>
          <w:p w14:paraId="46A26113">
            <w:pPr>
              <w:ind w:firstLine="0" w:firstLineChars="0"/>
              <w:rPr>
                <w:rFonts w:ascii="宋体" w:hAnsi="宋体" w:eastAsia="宋体" w:cs="宋体"/>
              </w:rPr>
            </w:pPr>
          </w:p>
        </w:tc>
        <w:tc>
          <w:tcPr>
            <w:tcW w:w="803" w:type="dxa"/>
            <w:tcBorders>
              <w:top w:val="single" w:color="auto" w:sz="4" w:space="0"/>
              <w:left w:val="single" w:color="000000" w:sz="4" w:space="0"/>
              <w:bottom w:val="single" w:color="auto" w:sz="4" w:space="0"/>
              <w:right w:val="single" w:color="000000" w:sz="4" w:space="0"/>
            </w:tcBorders>
            <w:vAlign w:val="center"/>
          </w:tcPr>
          <w:p w14:paraId="48E9C2E2">
            <w:pPr>
              <w:spacing w:line="68" w:lineRule="atLeast"/>
              <w:ind w:firstLine="0" w:firstLineChars="0"/>
              <w:rPr>
                <w:rFonts w:ascii="宋体" w:hAnsi="宋体" w:eastAsia="宋体" w:cs="宋体"/>
              </w:rPr>
            </w:pPr>
            <w:r>
              <w:rPr>
                <w:rFonts w:hint="eastAsia" w:ascii="宋体" w:hAnsi="宋体" w:eastAsia="宋体" w:cs="宋体"/>
              </w:rPr>
              <w:t>社会效益（5分）</w:t>
            </w:r>
          </w:p>
        </w:tc>
        <w:tc>
          <w:tcPr>
            <w:tcW w:w="1182" w:type="dxa"/>
            <w:tcBorders>
              <w:top w:val="single" w:color="000000" w:sz="4" w:space="0"/>
              <w:left w:val="single" w:color="000000" w:sz="4" w:space="0"/>
              <w:bottom w:val="single" w:color="000000" w:sz="4" w:space="0"/>
              <w:right w:val="single" w:color="auto" w:sz="4" w:space="0"/>
            </w:tcBorders>
            <w:vAlign w:val="center"/>
          </w:tcPr>
          <w:p w14:paraId="59F9196A">
            <w:pPr>
              <w:spacing w:line="68" w:lineRule="atLeast"/>
              <w:ind w:firstLine="0" w:firstLineChars="0"/>
              <w:rPr>
                <w:rFonts w:ascii="宋体" w:hAnsi="宋体" w:eastAsia="宋体" w:cs="宋体"/>
              </w:rPr>
            </w:pPr>
            <w:r>
              <w:rPr>
                <w:rFonts w:hint="eastAsia" w:ascii="宋体" w:hAnsi="宋体" w:eastAsia="宋体" w:cs="宋体"/>
              </w:rPr>
              <w:t>社会公众满意度（5分）</w:t>
            </w:r>
          </w:p>
        </w:tc>
        <w:tc>
          <w:tcPr>
            <w:tcW w:w="6911" w:type="dxa"/>
            <w:tcBorders>
              <w:top w:val="single" w:color="000000" w:sz="4" w:space="0"/>
              <w:left w:val="single" w:color="auto" w:sz="4" w:space="0"/>
              <w:bottom w:val="single" w:color="000000" w:sz="4" w:space="0"/>
              <w:right w:val="single" w:color="auto" w:sz="4" w:space="0"/>
            </w:tcBorders>
            <w:vAlign w:val="center"/>
          </w:tcPr>
          <w:p w14:paraId="3A8D9B8E">
            <w:pPr>
              <w:spacing w:line="68" w:lineRule="atLeast"/>
              <w:ind w:firstLine="0" w:firstLineChars="0"/>
              <w:rPr>
                <w:rFonts w:ascii="宋体" w:hAnsi="宋体" w:eastAsia="宋体" w:cs="宋体"/>
              </w:rPr>
            </w:pPr>
            <w:r>
              <w:rPr>
                <w:rFonts w:hint="eastAsia" w:ascii="宋体" w:hAnsi="宋体" w:eastAsia="宋体" w:cs="宋体"/>
              </w:rPr>
              <w:t>通过问卷调查了解社会公众对部门履职效果、解决民众关心的热点问题、厉行节约等方面的满意程度，反映和评价部门支出所带来的社会效益。</w:t>
            </w:r>
          </w:p>
        </w:tc>
        <w:tc>
          <w:tcPr>
            <w:tcW w:w="3423" w:type="dxa"/>
            <w:tcBorders>
              <w:top w:val="single" w:color="000000" w:sz="4" w:space="0"/>
              <w:left w:val="single" w:color="auto" w:sz="4" w:space="0"/>
              <w:bottom w:val="single" w:color="000000" w:sz="4" w:space="0"/>
              <w:right w:val="single" w:color="auto" w:sz="4" w:space="0"/>
            </w:tcBorders>
            <w:vAlign w:val="center"/>
          </w:tcPr>
          <w:p w14:paraId="6D0BED30">
            <w:pPr>
              <w:spacing w:line="240" w:lineRule="exact"/>
              <w:ind w:firstLine="0" w:firstLineChars="0"/>
              <w:rPr>
                <w:rFonts w:ascii="宋体" w:hAnsi="宋体" w:eastAsia="宋体" w:cs="宋体"/>
              </w:rPr>
            </w:pPr>
            <w:r>
              <w:rPr>
                <w:rFonts w:hint="eastAsia" w:ascii="宋体" w:hAnsi="宋体" w:eastAsia="宋体" w:cs="宋体"/>
              </w:rPr>
              <w:t>按照满意度调查的优秀、良好、合格、不合格给予该项指标打分：</w:t>
            </w:r>
          </w:p>
          <w:p w14:paraId="7E42DBB0">
            <w:pPr>
              <w:spacing w:line="68" w:lineRule="atLeast"/>
              <w:ind w:firstLine="0" w:firstLineChars="0"/>
              <w:rPr>
                <w:rFonts w:ascii="宋体" w:hAnsi="宋体" w:eastAsia="宋体" w:cs="宋体"/>
              </w:rPr>
            </w:pPr>
            <w:r>
              <w:rPr>
                <w:rFonts w:hint="eastAsia" w:ascii="宋体" w:hAnsi="宋体" w:eastAsia="宋体" w:cs="宋体"/>
              </w:rPr>
              <w:t>优秀（5分）；良好（3分）；合格（1分）；不合格（0分）。</w:t>
            </w:r>
          </w:p>
        </w:tc>
        <w:tc>
          <w:tcPr>
            <w:tcW w:w="1090" w:type="dxa"/>
            <w:tcBorders>
              <w:top w:val="single" w:color="000000" w:sz="4" w:space="0"/>
              <w:left w:val="single" w:color="auto" w:sz="4" w:space="0"/>
              <w:bottom w:val="single" w:color="000000" w:sz="4" w:space="0"/>
              <w:right w:val="single" w:color="000000" w:sz="4" w:space="0"/>
            </w:tcBorders>
            <w:vAlign w:val="center"/>
          </w:tcPr>
          <w:p w14:paraId="32776C80">
            <w:pPr>
              <w:spacing w:line="68" w:lineRule="atLeast"/>
              <w:ind w:firstLine="0" w:firstLineChars="0"/>
              <w:rPr>
                <w:rFonts w:ascii="宋体" w:hAnsi="宋体" w:eastAsia="宋体" w:cs="宋体"/>
              </w:rPr>
            </w:pPr>
            <w:r>
              <w:rPr>
                <w:rFonts w:hint="eastAsia" w:ascii="宋体" w:hAnsi="宋体" w:eastAsia="宋体" w:cs="宋体"/>
              </w:rPr>
              <w:t>5</w:t>
            </w:r>
          </w:p>
        </w:tc>
      </w:tr>
      <w:tr w14:paraId="7683D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733" w:type="dxa"/>
            <w:tcBorders>
              <w:left w:val="single" w:color="000000" w:sz="4" w:space="0"/>
              <w:right w:val="single" w:color="000000" w:sz="4" w:space="0"/>
            </w:tcBorders>
            <w:vAlign w:val="center"/>
          </w:tcPr>
          <w:p w14:paraId="4CB85F88">
            <w:pPr>
              <w:ind w:firstLine="0" w:firstLineChars="0"/>
              <w:rPr>
                <w:rFonts w:ascii="宋体" w:hAnsi="宋体" w:eastAsia="宋体" w:cs="宋体"/>
              </w:rPr>
            </w:pPr>
            <w:r>
              <w:rPr>
                <w:rFonts w:hint="eastAsia" w:ascii="宋体" w:hAnsi="宋体" w:eastAsia="宋体" w:cs="宋体"/>
              </w:rPr>
              <w:t>小计</w:t>
            </w:r>
          </w:p>
        </w:tc>
        <w:tc>
          <w:tcPr>
            <w:tcW w:w="803" w:type="dxa"/>
            <w:tcBorders>
              <w:top w:val="single" w:color="auto" w:sz="4" w:space="0"/>
              <w:left w:val="single" w:color="000000" w:sz="4" w:space="0"/>
              <w:bottom w:val="single" w:color="auto" w:sz="4" w:space="0"/>
              <w:right w:val="single" w:color="000000" w:sz="4" w:space="0"/>
            </w:tcBorders>
            <w:vAlign w:val="center"/>
          </w:tcPr>
          <w:p w14:paraId="56CED647">
            <w:pPr>
              <w:spacing w:line="68" w:lineRule="atLeast"/>
              <w:ind w:firstLine="0" w:firstLineChars="0"/>
              <w:rPr>
                <w:rFonts w:ascii="宋体" w:hAnsi="宋体" w:eastAsia="宋体" w:cs="宋体"/>
              </w:rPr>
            </w:pPr>
            <w:r>
              <w:rPr>
                <w:rFonts w:hint="eastAsia" w:ascii="宋体" w:hAnsi="宋体" w:eastAsia="宋体" w:cs="宋体"/>
              </w:rPr>
              <w:t>100</w:t>
            </w:r>
          </w:p>
        </w:tc>
        <w:tc>
          <w:tcPr>
            <w:tcW w:w="1182" w:type="dxa"/>
            <w:tcBorders>
              <w:top w:val="single" w:color="000000" w:sz="4" w:space="0"/>
              <w:left w:val="single" w:color="000000" w:sz="4" w:space="0"/>
              <w:bottom w:val="single" w:color="000000" w:sz="4" w:space="0"/>
              <w:right w:val="single" w:color="auto" w:sz="4" w:space="0"/>
            </w:tcBorders>
            <w:vAlign w:val="center"/>
          </w:tcPr>
          <w:p w14:paraId="3CFD4435">
            <w:pPr>
              <w:spacing w:line="68" w:lineRule="atLeast"/>
              <w:ind w:firstLine="0" w:firstLineChars="0"/>
              <w:rPr>
                <w:rFonts w:ascii="宋体" w:hAnsi="宋体" w:eastAsia="宋体" w:cs="宋体"/>
              </w:rPr>
            </w:pPr>
          </w:p>
        </w:tc>
        <w:tc>
          <w:tcPr>
            <w:tcW w:w="6911" w:type="dxa"/>
            <w:tcBorders>
              <w:top w:val="single" w:color="000000" w:sz="4" w:space="0"/>
              <w:left w:val="single" w:color="auto" w:sz="4" w:space="0"/>
              <w:bottom w:val="single" w:color="000000" w:sz="4" w:space="0"/>
              <w:right w:val="single" w:color="auto" w:sz="4" w:space="0"/>
            </w:tcBorders>
            <w:vAlign w:val="center"/>
          </w:tcPr>
          <w:p w14:paraId="5937AC19">
            <w:pPr>
              <w:spacing w:line="68" w:lineRule="atLeast"/>
              <w:ind w:firstLine="0" w:firstLineChars="0"/>
              <w:rPr>
                <w:rFonts w:ascii="宋体" w:hAnsi="宋体" w:eastAsia="宋体" w:cs="宋体"/>
              </w:rPr>
            </w:pPr>
          </w:p>
        </w:tc>
        <w:tc>
          <w:tcPr>
            <w:tcW w:w="3423" w:type="dxa"/>
            <w:tcBorders>
              <w:top w:val="single" w:color="000000" w:sz="4" w:space="0"/>
              <w:left w:val="single" w:color="auto" w:sz="4" w:space="0"/>
              <w:bottom w:val="single" w:color="000000" w:sz="4" w:space="0"/>
              <w:right w:val="single" w:color="auto" w:sz="4" w:space="0"/>
            </w:tcBorders>
            <w:vAlign w:val="center"/>
          </w:tcPr>
          <w:p w14:paraId="7E01109C">
            <w:pPr>
              <w:spacing w:line="68" w:lineRule="atLeast"/>
              <w:ind w:firstLine="0" w:firstLineChars="0"/>
              <w:rPr>
                <w:rFonts w:ascii="宋体" w:hAnsi="宋体" w:eastAsia="宋体" w:cs="宋体"/>
              </w:rPr>
            </w:pPr>
          </w:p>
        </w:tc>
        <w:tc>
          <w:tcPr>
            <w:tcW w:w="1090" w:type="dxa"/>
            <w:tcBorders>
              <w:top w:val="single" w:color="000000" w:sz="4" w:space="0"/>
              <w:left w:val="single" w:color="auto" w:sz="4" w:space="0"/>
              <w:bottom w:val="single" w:color="000000" w:sz="4" w:space="0"/>
              <w:right w:val="single" w:color="000000" w:sz="4" w:space="0"/>
            </w:tcBorders>
            <w:vAlign w:val="center"/>
          </w:tcPr>
          <w:p w14:paraId="4FB5A7AA">
            <w:pPr>
              <w:spacing w:line="68" w:lineRule="atLeast"/>
              <w:ind w:firstLine="0" w:firstLineChars="0"/>
              <w:rPr>
                <w:rFonts w:ascii="宋体" w:hAnsi="宋体" w:eastAsia="宋体" w:cs="宋体"/>
              </w:rPr>
            </w:pPr>
            <w:r>
              <w:rPr>
                <w:rFonts w:hint="eastAsia" w:ascii="宋体" w:hAnsi="宋体" w:eastAsia="宋体" w:cs="宋体"/>
              </w:rPr>
              <w:t>8</w:t>
            </w:r>
            <w:r>
              <w:rPr>
                <w:rFonts w:ascii="宋体" w:hAnsi="宋体" w:eastAsia="宋体" w:cs="宋体"/>
              </w:rPr>
              <w:t>3.68</w:t>
            </w:r>
          </w:p>
        </w:tc>
      </w:tr>
      <w:tr w14:paraId="012ED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jc w:val="center"/>
        </w:trPr>
        <w:tc>
          <w:tcPr>
            <w:tcW w:w="733" w:type="dxa"/>
            <w:tcBorders>
              <w:left w:val="single" w:color="000000" w:sz="4" w:space="0"/>
              <w:bottom w:val="single" w:color="000000" w:sz="4" w:space="0"/>
              <w:right w:val="single" w:color="000000" w:sz="4" w:space="0"/>
            </w:tcBorders>
            <w:vAlign w:val="center"/>
          </w:tcPr>
          <w:p w14:paraId="0D566759">
            <w:pPr>
              <w:ind w:firstLine="0" w:firstLineChars="0"/>
              <w:rPr>
                <w:rFonts w:ascii="宋体" w:hAnsi="宋体" w:eastAsia="宋体" w:cs="宋体"/>
              </w:rPr>
            </w:pPr>
            <w:r>
              <w:rPr>
                <w:rFonts w:hint="eastAsia" w:ascii="宋体" w:hAnsi="宋体" w:eastAsia="宋体" w:cs="宋体"/>
              </w:rPr>
              <w:t>评价结果</w:t>
            </w:r>
          </w:p>
        </w:tc>
        <w:tc>
          <w:tcPr>
            <w:tcW w:w="803" w:type="dxa"/>
            <w:tcBorders>
              <w:top w:val="single" w:color="auto" w:sz="4" w:space="0"/>
              <w:left w:val="single" w:color="000000" w:sz="4" w:space="0"/>
              <w:bottom w:val="single" w:color="auto" w:sz="4" w:space="0"/>
              <w:right w:val="single" w:color="000000" w:sz="4" w:space="0"/>
            </w:tcBorders>
            <w:vAlign w:val="center"/>
          </w:tcPr>
          <w:p w14:paraId="7BA7599B">
            <w:pPr>
              <w:spacing w:line="68" w:lineRule="atLeast"/>
              <w:ind w:firstLine="0" w:firstLineChars="0"/>
              <w:rPr>
                <w:rFonts w:ascii="宋体" w:hAnsi="宋体" w:eastAsia="宋体" w:cs="宋体"/>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108095D1">
            <w:pPr>
              <w:spacing w:line="68" w:lineRule="atLeast"/>
              <w:ind w:firstLine="0" w:firstLineChars="0"/>
              <w:rPr>
                <w:rFonts w:ascii="宋体" w:hAnsi="宋体" w:eastAsia="宋体" w:cs="宋体"/>
              </w:rPr>
            </w:pPr>
          </w:p>
        </w:tc>
        <w:tc>
          <w:tcPr>
            <w:tcW w:w="10334" w:type="dxa"/>
            <w:gridSpan w:val="2"/>
            <w:tcBorders>
              <w:top w:val="single" w:color="000000" w:sz="4" w:space="0"/>
              <w:left w:val="single" w:color="auto" w:sz="4" w:space="0"/>
              <w:bottom w:val="single" w:color="000000" w:sz="4" w:space="0"/>
              <w:right w:val="single" w:color="auto" w:sz="4" w:space="0"/>
            </w:tcBorders>
            <w:vAlign w:val="center"/>
          </w:tcPr>
          <w:p w14:paraId="26E6A6A5">
            <w:pPr>
              <w:spacing w:line="68" w:lineRule="atLeast"/>
              <w:ind w:firstLine="0" w:firstLineChars="0"/>
              <w:rPr>
                <w:rFonts w:ascii="宋体" w:hAnsi="宋体" w:eastAsia="宋体" w:cs="宋体"/>
              </w:rPr>
            </w:pPr>
            <w:r>
              <w:rPr>
                <w:rFonts w:hint="eastAsia" w:ascii="宋体" w:hAnsi="宋体" w:eastAsia="宋体" w:cs="宋体"/>
              </w:rPr>
              <w:t xml:space="preserve">□优秀  90分≤得分≤100分； </w:t>
            </w:r>
            <w:r>
              <w:rPr>
                <w:rFonts w:hint="eastAsia" w:ascii="宋体" w:hAnsi="宋体" w:eastAsia="宋体" w:cs="宋体"/>
              </w:rPr>
              <w:sym w:font="Wingdings 2" w:char="0052"/>
            </w:r>
            <w:r>
              <w:rPr>
                <w:rFonts w:hint="eastAsia" w:ascii="宋体" w:hAnsi="宋体" w:eastAsia="宋体" w:cs="宋体"/>
              </w:rPr>
              <w:t>良好  80分≤得分≤89分；</w:t>
            </w:r>
          </w:p>
          <w:p w14:paraId="10BBE2D1">
            <w:pPr>
              <w:spacing w:line="68" w:lineRule="atLeast"/>
              <w:ind w:firstLine="0" w:firstLineChars="0"/>
              <w:rPr>
                <w:rFonts w:ascii="宋体" w:hAnsi="宋体" w:eastAsia="宋体" w:cs="宋体"/>
              </w:rPr>
            </w:pPr>
            <w:r>
              <w:rPr>
                <w:rFonts w:hint="eastAsia" w:ascii="宋体" w:hAnsi="宋体" w:eastAsia="宋体" w:cs="宋体"/>
              </w:rPr>
              <w:t xml:space="preserve">  □中  60分≤得分≤79分；  □较差  0≤得分≤59分</w:t>
            </w:r>
          </w:p>
        </w:tc>
        <w:tc>
          <w:tcPr>
            <w:tcW w:w="1090" w:type="dxa"/>
            <w:tcBorders>
              <w:top w:val="single" w:color="000000" w:sz="4" w:space="0"/>
              <w:left w:val="single" w:color="auto" w:sz="4" w:space="0"/>
              <w:bottom w:val="single" w:color="000000" w:sz="4" w:space="0"/>
              <w:right w:val="single" w:color="000000" w:sz="4" w:space="0"/>
            </w:tcBorders>
            <w:vAlign w:val="center"/>
          </w:tcPr>
          <w:p w14:paraId="24C29B66">
            <w:pPr>
              <w:spacing w:line="68" w:lineRule="atLeast"/>
              <w:ind w:firstLine="0" w:firstLineChars="0"/>
              <w:rPr>
                <w:rFonts w:ascii="宋体" w:hAnsi="宋体" w:eastAsia="宋体" w:cs="宋体"/>
              </w:rPr>
            </w:pPr>
            <w:r>
              <w:rPr>
                <w:rFonts w:hint="eastAsia" w:ascii="宋体" w:hAnsi="宋体" w:eastAsia="宋体" w:cs="宋体"/>
              </w:rPr>
              <w:t>良好</w:t>
            </w:r>
          </w:p>
        </w:tc>
      </w:tr>
    </w:tbl>
    <w:p w14:paraId="1AD2AD5B">
      <w:pPr>
        <w:spacing w:line="432" w:lineRule="auto"/>
        <w:ind w:firstLine="440"/>
      </w:pPr>
    </w:p>
    <w:p w14:paraId="3DA2FE56">
      <w:pPr>
        <w:ind w:firstLine="0" w:firstLineChars="0"/>
        <w:rPr>
          <w:rFonts w:ascii="宋体" w:hAnsi="宋体" w:eastAsia="宋体" w:cs="宋体"/>
        </w:rPr>
      </w:pPr>
    </w:p>
    <w:sectPr>
      <w:pgSz w:w="16838" w:h="11906" w:orient="landscape"/>
      <w:pgMar w:top="1587" w:right="1587" w:bottom="1587" w:left="1587" w:header="708" w:footer="709"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40"/>
      </w:pPr>
      <w:r>
        <w:separator/>
      </w:r>
    </w:p>
  </w:endnote>
  <w:endnote w:type="continuationSeparator" w:id="1">
    <w:p>
      <w:pPr>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Microsoft YaHei UI"/>
    <w:panose1 w:val="00000000000000000000"/>
    <w:charset w:val="86"/>
    <w:family w:val="auto"/>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Microsoft YaHei UI"/>
    <w:panose1 w:val="00000000000000000000"/>
    <w:charset w:val="86"/>
    <w:family w:val="script"/>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E8763">
    <w:pPr>
      <w:pStyle w:val="3"/>
      <w:ind w:firstLine="360"/>
    </w:pPr>
    <w:r>
      <w:pict>
        <v:shape id="_x0000_s2053" o:spid="_x0000_s205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9B5717A">
                <w:pPr>
                  <w:pStyle w:val="3"/>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2</w:t>
                </w:r>
                <w:r>
                  <w:rPr>
                    <w:sz w:val="21"/>
                    <w:szCs w:val="21"/>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4CF78">
    <w:pPr>
      <w:pStyle w:val="3"/>
      <w:ind w:firstLine="360"/>
    </w:pPr>
    <w:r>
      <w:pict>
        <v:shape id="_x0000_s2051"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4ACC7DA">
                <w:pPr>
                  <w:pStyle w:val="3"/>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11</w:t>
                </w:r>
                <w:r>
                  <w:rPr>
                    <w:sz w:val="21"/>
                    <w:szCs w:val="21"/>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40"/>
      </w:pPr>
      <w:r>
        <w:separator/>
      </w:r>
    </w:p>
  </w:footnote>
  <w:footnote w:type="continuationSeparator" w:id="1">
    <w:p>
      <w:pPr>
        <w:ind w:firstLine="4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useFELayout/>
    <w:compatSetting w:name="compatibilityMode" w:uri="http://schemas.microsoft.com/office/word" w:val="12"/>
  </w:compat>
  <w:rsids>
    <w:rsidRoot w:val="00D31D50"/>
    <w:rsid w:val="00005EA1"/>
    <w:rsid w:val="00017F63"/>
    <w:rsid w:val="000228B8"/>
    <w:rsid w:val="00050738"/>
    <w:rsid w:val="00081464"/>
    <w:rsid w:val="000B540C"/>
    <w:rsid w:val="00126365"/>
    <w:rsid w:val="00135CB9"/>
    <w:rsid w:val="001400CF"/>
    <w:rsid w:val="0014394E"/>
    <w:rsid w:val="001F1A2E"/>
    <w:rsid w:val="00206475"/>
    <w:rsid w:val="0027269B"/>
    <w:rsid w:val="00272CCE"/>
    <w:rsid w:val="00284BF1"/>
    <w:rsid w:val="002A3E48"/>
    <w:rsid w:val="002B033E"/>
    <w:rsid w:val="002C671A"/>
    <w:rsid w:val="00322833"/>
    <w:rsid w:val="00323B43"/>
    <w:rsid w:val="00343DA7"/>
    <w:rsid w:val="0034665D"/>
    <w:rsid w:val="0036742F"/>
    <w:rsid w:val="0038315F"/>
    <w:rsid w:val="003B4FD7"/>
    <w:rsid w:val="003C2A98"/>
    <w:rsid w:val="003D37D8"/>
    <w:rsid w:val="003F1455"/>
    <w:rsid w:val="00400E3D"/>
    <w:rsid w:val="00415CE5"/>
    <w:rsid w:val="00426133"/>
    <w:rsid w:val="004347D6"/>
    <w:rsid w:val="004358AB"/>
    <w:rsid w:val="00447179"/>
    <w:rsid w:val="00467A06"/>
    <w:rsid w:val="00495062"/>
    <w:rsid w:val="004B6B17"/>
    <w:rsid w:val="004B70E5"/>
    <w:rsid w:val="004C5F38"/>
    <w:rsid w:val="004C6566"/>
    <w:rsid w:val="004D27F2"/>
    <w:rsid w:val="004F086B"/>
    <w:rsid w:val="005040DE"/>
    <w:rsid w:val="00542C4C"/>
    <w:rsid w:val="005466F9"/>
    <w:rsid w:val="005A3C81"/>
    <w:rsid w:val="005C1EF8"/>
    <w:rsid w:val="005F7899"/>
    <w:rsid w:val="006B50E7"/>
    <w:rsid w:val="006C5282"/>
    <w:rsid w:val="006D3260"/>
    <w:rsid w:val="006F79A1"/>
    <w:rsid w:val="00700F9F"/>
    <w:rsid w:val="00715B1D"/>
    <w:rsid w:val="00745218"/>
    <w:rsid w:val="0075444A"/>
    <w:rsid w:val="00761EB2"/>
    <w:rsid w:val="00782012"/>
    <w:rsid w:val="00784F08"/>
    <w:rsid w:val="007A600A"/>
    <w:rsid w:val="007A7F6D"/>
    <w:rsid w:val="007F7A6B"/>
    <w:rsid w:val="00801EAB"/>
    <w:rsid w:val="00807C6D"/>
    <w:rsid w:val="0081129F"/>
    <w:rsid w:val="00866C90"/>
    <w:rsid w:val="008A6D25"/>
    <w:rsid w:val="008B7726"/>
    <w:rsid w:val="008C083B"/>
    <w:rsid w:val="009037FC"/>
    <w:rsid w:val="00941B5B"/>
    <w:rsid w:val="0094423D"/>
    <w:rsid w:val="00956C12"/>
    <w:rsid w:val="009B5F0A"/>
    <w:rsid w:val="009B6007"/>
    <w:rsid w:val="00A023DD"/>
    <w:rsid w:val="00A0309E"/>
    <w:rsid w:val="00A06173"/>
    <w:rsid w:val="00A24F73"/>
    <w:rsid w:val="00A40F44"/>
    <w:rsid w:val="00A765ED"/>
    <w:rsid w:val="00A90A9C"/>
    <w:rsid w:val="00AA2BB6"/>
    <w:rsid w:val="00AB74BD"/>
    <w:rsid w:val="00AD56B9"/>
    <w:rsid w:val="00AF7382"/>
    <w:rsid w:val="00B5232C"/>
    <w:rsid w:val="00B53F6B"/>
    <w:rsid w:val="00B8784E"/>
    <w:rsid w:val="00B90A9F"/>
    <w:rsid w:val="00BA6798"/>
    <w:rsid w:val="00BD4A38"/>
    <w:rsid w:val="00C04908"/>
    <w:rsid w:val="00C14642"/>
    <w:rsid w:val="00C216CA"/>
    <w:rsid w:val="00CC0566"/>
    <w:rsid w:val="00CC17C9"/>
    <w:rsid w:val="00CF5F8D"/>
    <w:rsid w:val="00D31D50"/>
    <w:rsid w:val="00D5252A"/>
    <w:rsid w:val="00D55AF9"/>
    <w:rsid w:val="00D81B07"/>
    <w:rsid w:val="00D953B5"/>
    <w:rsid w:val="00DA5799"/>
    <w:rsid w:val="00DE54F5"/>
    <w:rsid w:val="00E11C62"/>
    <w:rsid w:val="00E71908"/>
    <w:rsid w:val="00E87D1E"/>
    <w:rsid w:val="00E94984"/>
    <w:rsid w:val="00EA7D7A"/>
    <w:rsid w:val="00EB4495"/>
    <w:rsid w:val="00EE6E2C"/>
    <w:rsid w:val="00F30979"/>
    <w:rsid w:val="00F36194"/>
    <w:rsid w:val="00F90E13"/>
    <w:rsid w:val="00FA01F9"/>
    <w:rsid w:val="00FA17E4"/>
    <w:rsid w:val="00FB1D8C"/>
    <w:rsid w:val="010D6B75"/>
    <w:rsid w:val="01972837"/>
    <w:rsid w:val="033A1D2B"/>
    <w:rsid w:val="03550139"/>
    <w:rsid w:val="09E813E1"/>
    <w:rsid w:val="0D4B41C6"/>
    <w:rsid w:val="12855F2D"/>
    <w:rsid w:val="1C4F7811"/>
    <w:rsid w:val="1E926D9A"/>
    <w:rsid w:val="1FF57DF9"/>
    <w:rsid w:val="27AF54E0"/>
    <w:rsid w:val="283F0101"/>
    <w:rsid w:val="29932CBF"/>
    <w:rsid w:val="2F1A6C8E"/>
    <w:rsid w:val="2FB93755"/>
    <w:rsid w:val="3A9F783C"/>
    <w:rsid w:val="3F2533F6"/>
    <w:rsid w:val="3FFC25C9"/>
    <w:rsid w:val="417D7802"/>
    <w:rsid w:val="42BB7663"/>
    <w:rsid w:val="43B802BF"/>
    <w:rsid w:val="482E79F6"/>
    <w:rsid w:val="4E6B1A2A"/>
    <w:rsid w:val="526B70BF"/>
    <w:rsid w:val="58AE663A"/>
    <w:rsid w:val="5AFD3965"/>
    <w:rsid w:val="5ED74E21"/>
    <w:rsid w:val="6BA204F9"/>
    <w:rsid w:val="6BEC7865"/>
    <w:rsid w:val="6D1920F6"/>
    <w:rsid w:val="6D2A0A99"/>
    <w:rsid w:val="70AC6CA6"/>
    <w:rsid w:val="74362F28"/>
    <w:rsid w:val="768B79D3"/>
    <w:rsid w:val="768F0540"/>
    <w:rsid w:val="79A429DF"/>
    <w:rsid w:val="7C8C7339"/>
    <w:rsid w:val="7ECE3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ind w:firstLine="200" w:firstLineChars="200"/>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1"/>
    <w:semiHidden/>
    <w:unhideWhenUsed/>
    <w:qFormat/>
    <w:uiPriority w:val="99"/>
    <w:pPr>
      <w:tabs>
        <w:tab w:val="center" w:pos="4153"/>
        <w:tab w:val="right" w:pos="8306"/>
      </w:tabs>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character" w:styleId="8">
    <w:name w:val="page number"/>
    <w:basedOn w:val="7"/>
    <w:qFormat/>
    <w:uiPriority w:val="0"/>
  </w:style>
  <w:style w:type="character" w:styleId="9">
    <w:name w:val="Hyperlink"/>
    <w:basedOn w:val="7"/>
    <w:semiHidden/>
    <w:unhideWhenUsed/>
    <w:qFormat/>
    <w:uiPriority w:val="99"/>
    <w:rPr>
      <w:color w:val="333333"/>
      <w:u w:val="none"/>
    </w:rPr>
  </w:style>
  <w:style w:type="character" w:customStyle="1" w:styleId="10">
    <w:name w:val="页眉 字符"/>
    <w:basedOn w:val="7"/>
    <w:link w:val="4"/>
    <w:semiHidden/>
    <w:qFormat/>
    <w:uiPriority w:val="99"/>
    <w:rPr>
      <w:rFonts w:ascii="Tahoma" w:hAnsi="Tahoma"/>
      <w:sz w:val="18"/>
      <w:szCs w:val="18"/>
    </w:rPr>
  </w:style>
  <w:style w:type="character" w:customStyle="1" w:styleId="11">
    <w:name w:val="页脚 字符"/>
    <w:basedOn w:val="7"/>
    <w:link w:val="3"/>
    <w:semiHidden/>
    <w:qFormat/>
    <w:uiPriority w:val="99"/>
    <w:rPr>
      <w:rFonts w:ascii="Tahoma" w:hAnsi="Tahoma"/>
      <w:sz w:val="18"/>
      <w:szCs w:val="18"/>
    </w:rPr>
  </w:style>
  <w:style w:type="paragraph" w:styleId="12">
    <w:name w:val="List Paragraph"/>
    <w:basedOn w:val="1"/>
    <w:qFormat/>
    <w:uiPriority w:val="99"/>
    <w:pPr>
      <w:ind w:firstLine="420"/>
    </w:pPr>
  </w:style>
  <w:style w:type="character" w:customStyle="1" w:styleId="13">
    <w:name w:val="批注框文本 字符"/>
    <w:basedOn w:val="7"/>
    <w:link w:val="2"/>
    <w:semiHidden/>
    <w:uiPriority w:val="99"/>
    <w:rPr>
      <w:rFonts w:ascii="Tahoma" w:hAnsi="Tahoma"/>
      <w:sz w:val="18"/>
      <w:szCs w:val="18"/>
    </w:rPr>
  </w:style>
  <w:style w:type="paragraph" w:customStyle="1" w:styleId="14">
    <w:name w:val="p"/>
    <w:basedOn w:val="1"/>
    <w:uiPriority w:val="0"/>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3"/>
    <customShpInfo spid="_x0000_s205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74C3C8-1F61-430F-B439-25A6B7ED30A4}">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10609</Words>
  <Characters>11519</Characters>
  <Lines>109</Lines>
  <Paragraphs>30</Paragraphs>
  <TotalTime>421</TotalTime>
  <ScaleCrop>false</ScaleCrop>
  <LinksUpToDate>false</LinksUpToDate>
  <CharactersWithSpaces>11633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德鲁</cp:lastModifiedBy>
  <cp:lastPrinted>2022-04-27T02:36:00Z</cp:lastPrinted>
  <dcterms:modified xsi:type="dcterms:W3CDTF">2026-07-08T06:27:14Z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32952C4E98F54BE298EF4F3373D60E9E</vt:lpwstr>
  </property>
  <property fmtid="{D5CDD505-2E9C-101B-9397-08002B2CF9AE}" pid="4" name="KSOTemplateDocerSaveRecord">
    <vt:lpwstr>eyJoZGlkIjoiOTFmMDQ5ZWE2OWFhMjA5ZDc3ZWEyOTJiN2UxOTcyM2UiLCJ1c2VySWQiOiIyNjkxOTI3NjcifQ==</vt:lpwstr>
  </property>
</Properties>
</file>