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ascii="黑体" w:eastAsia="黑体" w:cs="黑体" w:hAnsiTheme="minorHAnsi"/>
          <w:color w:val="000000"/>
          <w:kern w:val="0"/>
          <w:sz w:val="70"/>
          <w:szCs w:val="70"/>
        </w:rPr>
      </w:pPr>
      <w:bookmarkStart w:id="0" w:name="_GoBack"/>
      <w:bookmarkEnd w:id="0"/>
    </w:p>
    <w:p>
      <w:pPr>
        <w:ind w:firstLine="643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2020年度部门整体支出绩效评价报告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一、部门概况</w:t>
      </w:r>
    </w:p>
    <w:p>
      <w:pPr>
        <w:widowControl/>
        <w:shd w:val="clear" w:color="auto" w:fill="FFFFFF"/>
        <w:spacing w:line="600" w:lineRule="atLeast"/>
        <w:ind w:firstLine="640"/>
        <w:rPr>
          <w:rFonts w:ascii="仿宋" w:hAnsi="仿宋" w:eastAsia="仿宋"/>
          <w:spacing w:val="-2"/>
          <w:sz w:val="32"/>
          <w:szCs w:val="21"/>
        </w:rPr>
      </w:pPr>
      <w:r>
        <w:rPr>
          <w:rFonts w:ascii="仿宋" w:hAnsi="仿宋" w:eastAsia="仿宋"/>
          <w:spacing w:val="-2"/>
          <w:sz w:val="32"/>
          <w:szCs w:val="32"/>
        </w:rPr>
        <w:t>（一）部门基本情况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1.机构设置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县妇联为正科级全额拨款行政单位，核定编制6人，其中：行政编制4人，事业编制2名。实有在职人员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人，退休人员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人。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2.主要职能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坚持正确的政治方向，团结、教育全县各族各界妇女以及各类妇女组织同党中央在思想上、政治上、行动上保持高度一致。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紧密围绕县委、县政府的中心任务开展工作，团结、动员、组织全县妇女群众参与经济社会发展，努力推进中方县妇女儿童事业的发展。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宣传马克思主义妇女观和男女平等思想，教育、引导妇女树立正确的世界观、人生观、价值观，弘扬“自尊、自信、自立、自强”的精神，积极开展对妇女的科技文化及生产劳动技能教育，全面提高妇女素质。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代表妇女参与社会事务的民主管理和民主监督；关注并积极研究涉及妇女切身利益的热点、难点问题，及时提出解决处理的建议；参与制定有关保护妇女儿童合法权益的政策并组织落实，切实维护妇女儿童合法权益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坚持为妇女儿童服务、为基层服务，加强与社会各界的联系，协调、推动社会各界为妇女儿童办好事、办实事。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加强与社会各界妇女的联系，巩固和扩大各族各界妇女的大团结。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加强妇联组织自身建设，指导建立健全各级妇联和基层妇女组织。指导各级妇女组织按照章程独立自主地开展工作。加强干部队伍建设，提高妇联干部的整体素质。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承担县妇女儿童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服务中心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的日常工作。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承办县委、县政府和市妇联交办的其他事项。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（二）部门整体支出规模、使用方向和主要内容、涉及范围等。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1.2020年部门预算情况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收入预算，20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年年初预算数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69.29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万元，其中，一般公共预算拨款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68.95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万元，政府性基金预算拨款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万元，纳入财政专户管理的非税收入拨款0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.34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万元，国有资本经营预算拨款0万元。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 w:firstLineChars="200"/>
        <w:textAlignment w:val="auto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支出预算，20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年年初预算数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69.29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万元，其中，主要是工资福利支出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54.87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万元，商品和服务支出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14.15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万元，对个人和家庭的补助支出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0.27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万元。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 w:firstLineChars="200"/>
        <w:textAlignment w:val="auto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2.2020年部门决算情况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年度决算总收入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130.31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年初结转与结余0万元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。20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年度决算总支出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130.31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万元，其中：基本支出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63.29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万元，占总支出的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47.76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%；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项目支出6万元，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占总支出的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52.24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%。20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年财政拨款年末结转结余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二、部门整体支出管理及使用情况</w:t>
      </w:r>
    </w:p>
    <w:p>
      <w:pPr>
        <w:widowControl/>
        <w:shd w:val="clear" w:color="auto" w:fill="FFFFFF"/>
        <w:spacing w:line="600" w:lineRule="atLeast"/>
        <w:ind w:firstLine="643"/>
        <w:rPr>
          <w:rFonts w:ascii="仿宋" w:hAnsi="仿宋" w:eastAsia="仿宋"/>
          <w:b/>
          <w:spacing w:val="-2"/>
          <w:sz w:val="32"/>
          <w:szCs w:val="21"/>
        </w:rPr>
      </w:pPr>
      <w:r>
        <w:rPr>
          <w:rFonts w:ascii="仿宋" w:hAnsi="仿宋" w:eastAsia="仿宋"/>
          <w:b/>
          <w:spacing w:val="-2"/>
          <w:sz w:val="32"/>
          <w:szCs w:val="32"/>
        </w:rPr>
        <w:t>（一）基本支出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年基本支出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62.24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万元，其中：工资福利支出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54.76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万元，商品和服务支出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6.46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万元，对个人和家庭的补助支出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1.02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万元。</w:t>
      </w:r>
    </w:p>
    <w:p>
      <w:pPr>
        <w:widowControl/>
        <w:shd w:val="clear" w:color="auto" w:fill="FFFFFF"/>
        <w:spacing w:line="600" w:lineRule="atLeast"/>
        <w:ind w:firstLine="643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（二）专项支出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1、专项资金（包括财政资金、自筹资金等）安排落实、总投入等情况分析。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无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2、专项资金（主要指财政资金）实际使用情况分析。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无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3、专项资金管理情况分析，主要包括管理制度、办法的制订及执行情况。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无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三、部门专项组织实施情况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（一）专项组织情况分析，主要包括项目招投标、调整、竣工验收等情况。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无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（二）专项管理情况分析，主要包括项目管理制度建设、日常检查监督管理等情况。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我们制定专项资金管理制度，专款专用。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四、资产管理情况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为了规范固定资产管理，实现固定资产优化配置，提高资产的使用效益 ，我单位制定了《固定资产管理制度》，严格按照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《行政事业单位国有资产管理办法》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/>
          <w:spacing w:val="-2"/>
          <w:sz w:val="32"/>
          <w:szCs w:val="32"/>
          <w:lang w:val="en" w:eastAsia="zh-CN"/>
        </w:rPr>
        <w:t>固定资产配置和处置</w:t>
      </w: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五、部门整体支出绩效情况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今年以来，面对突如其来的新冠肺炎疫情和脱贫攻坚等多重工作叠加，在县委、政府的坚强领导下，县妇联坚持以习近平新时代中国特色社会主义思想为指 导，全面落实党的十九大和十九届二中、三中、四中、五中全会精神，深入贯彻总书记考察湖南重要讲话精神，及时把上级要求、部署转化为县妇联的使命任务、工作抓手，推动脱贫攻坚和妇女儿童“十三五”规划圆满收官，全力投入打赢防疫这场硬仗，狠抓两癌检查和救助两件大事，深入推进全面从严治党接受县委巡察，开展“点亮微心愿 巾帼圆梦行”、“巾帼心向党 清爽见行动”、“巾帼宣讲 讲好红色湘女故事”、“巾帼脱贫 创新创业”等活动，着力解决基层妇女群众实际困难。一年来，主要做了以下工作：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（一）坚持深学笃行，坚决执行总书记重要讲话、指示批示精神和县委决策部署在妇联落地落细落实；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（二）坚持战时思维、战时办法和战时作风，奋力夺取疫情防控和脱贫攻坚“双胜利”；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（三）坚持守正创新，推动宣传思想工作不断强化；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（四）坚持从严从实，深入推进全面从严治党；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（五）坚持用心用情，落实为民办实事，解决妇女群众实际困难；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（六）坚持凝心聚力，奋力推动妇女事业发展，维护妇女儿童合法权益；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-2"/>
          <w:sz w:val="32"/>
          <w:szCs w:val="32"/>
          <w:lang w:val="en-US" w:eastAsia="zh-CN"/>
        </w:rPr>
        <w:t>（七）坚持对标对表，妇女儿童“十三五”规划圆满收官，科学谋划“十四五”规划。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六、存在的主要问题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预算执行存在偏差。</w:t>
      </w:r>
    </w:p>
    <w:p>
      <w:pPr>
        <w:widowControl/>
        <w:shd w:val="clear" w:color="auto" w:fill="FFFFFF"/>
        <w:spacing w:line="600" w:lineRule="atLeast"/>
        <w:ind w:firstLine="640"/>
        <w:rPr>
          <w:rFonts w:ascii="楷体" w:hAnsi="楷体" w:eastAsia="楷体"/>
          <w:b/>
          <w:spacing w:val="-2"/>
          <w:sz w:val="32"/>
          <w:szCs w:val="21"/>
        </w:rPr>
      </w:pPr>
      <w:r>
        <w:rPr>
          <w:rFonts w:ascii="楷体" w:hAnsi="楷体" w:eastAsia="楷体"/>
          <w:b/>
          <w:spacing w:val="-2"/>
          <w:sz w:val="32"/>
          <w:szCs w:val="32"/>
        </w:rPr>
        <w:t>七、改进措施和有关建议</w:t>
      </w:r>
    </w:p>
    <w:p>
      <w:pPr>
        <w:widowControl/>
        <w:shd w:val="clear" w:color="auto" w:fill="FFFFFF"/>
        <w:spacing w:line="600" w:lineRule="atLeast"/>
        <w:ind w:firstLine="640"/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2"/>
          <w:sz w:val="32"/>
          <w:szCs w:val="32"/>
          <w:lang w:val="en-US" w:eastAsia="zh-CN"/>
        </w:rPr>
        <w:t>加强对预算资金绩效评价相关方面的学习，加强财政资金管理。</w:t>
      </w:r>
    </w:p>
    <w:p/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cs="黑体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cs="黑体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eastAsia="仿宋_GB2312"/>
          <w:sz w:val="28"/>
          <w:szCs w:val="28"/>
        </w:rPr>
      </w:pPr>
    </w:p>
    <w:sectPr>
      <w:footerReference r:id="rId3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MGRlNjViMzdkNzg4ODhmMTQ5NTk2YWFhMDY5ODkifQ=="/>
  </w:docVars>
  <w:rsids>
    <w:rsidRoot w:val="00B8201C"/>
    <w:rsid w:val="00013A85"/>
    <w:rsid w:val="00036D00"/>
    <w:rsid w:val="00045E48"/>
    <w:rsid w:val="000821B1"/>
    <w:rsid w:val="00085598"/>
    <w:rsid w:val="000F1516"/>
    <w:rsid w:val="00104D85"/>
    <w:rsid w:val="001067F9"/>
    <w:rsid w:val="00113305"/>
    <w:rsid w:val="001676DF"/>
    <w:rsid w:val="001742BD"/>
    <w:rsid w:val="0018350E"/>
    <w:rsid w:val="001A67DB"/>
    <w:rsid w:val="00243DED"/>
    <w:rsid w:val="00287B8A"/>
    <w:rsid w:val="002A798C"/>
    <w:rsid w:val="00316EED"/>
    <w:rsid w:val="003230DF"/>
    <w:rsid w:val="00340854"/>
    <w:rsid w:val="00344029"/>
    <w:rsid w:val="00345C91"/>
    <w:rsid w:val="00380EBE"/>
    <w:rsid w:val="003B7529"/>
    <w:rsid w:val="00414BED"/>
    <w:rsid w:val="00422668"/>
    <w:rsid w:val="00451B92"/>
    <w:rsid w:val="00453A70"/>
    <w:rsid w:val="00481F03"/>
    <w:rsid w:val="00497920"/>
    <w:rsid w:val="004C289E"/>
    <w:rsid w:val="004C77FD"/>
    <w:rsid w:val="004E28E2"/>
    <w:rsid w:val="004E4F74"/>
    <w:rsid w:val="00536BC1"/>
    <w:rsid w:val="00540666"/>
    <w:rsid w:val="005517DB"/>
    <w:rsid w:val="0058643F"/>
    <w:rsid w:val="005F4896"/>
    <w:rsid w:val="00602F57"/>
    <w:rsid w:val="006173F5"/>
    <w:rsid w:val="006368A6"/>
    <w:rsid w:val="00636E2C"/>
    <w:rsid w:val="00641C23"/>
    <w:rsid w:val="00642208"/>
    <w:rsid w:val="00646A4F"/>
    <w:rsid w:val="00650079"/>
    <w:rsid w:val="00667DB1"/>
    <w:rsid w:val="00675E80"/>
    <w:rsid w:val="006764BA"/>
    <w:rsid w:val="00680DCB"/>
    <w:rsid w:val="006F6B88"/>
    <w:rsid w:val="00702683"/>
    <w:rsid w:val="00702E34"/>
    <w:rsid w:val="00760301"/>
    <w:rsid w:val="007650FA"/>
    <w:rsid w:val="00772204"/>
    <w:rsid w:val="007927B4"/>
    <w:rsid w:val="00793E2B"/>
    <w:rsid w:val="00795432"/>
    <w:rsid w:val="00796BFC"/>
    <w:rsid w:val="00811C59"/>
    <w:rsid w:val="00812ED5"/>
    <w:rsid w:val="00834FCD"/>
    <w:rsid w:val="00863537"/>
    <w:rsid w:val="00892B70"/>
    <w:rsid w:val="008934D3"/>
    <w:rsid w:val="008A3BD2"/>
    <w:rsid w:val="0090556F"/>
    <w:rsid w:val="00946B2B"/>
    <w:rsid w:val="009603D7"/>
    <w:rsid w:val="009726CE"/>
    <w:rsid w:val="009802E0"/>
    <w:rsid w:val="009846C9"/>
    <w:rsid w:val="009C3B52"/>
    <w:rsid w:val="00A60BF9"/>
    <w:rsid w:val="00A70B0A"/>
    <w:rsid w:val="00AF73DA"/>
    <w:rsid w:val="00B24471"/>
    <w:rsid w:val="00B56429"/>
    <w:rsid w:val="00B8201C"/>
    <w:rsid w:val="00BB0D24"/>
    <w:rsid w:val="00BF6DC9"/>
    <w:rsid w:val="00C07B71"/>
    <w:rsid w:val="00C162FA"/>
    <w:rsid w:val="00C17AC6"/>
    <w:rsid w:val="00C82F1B"/>
    <w:rsid w:val="00C839E9"/>
    <w:rsid w:val="00C93FA9"/>
    <w:rsid w:val="00CA1585"/>
    <w:rsid w:val="00CA4089"/>
    <w:rsid w:val="00DB68F2"/>
    <w:rsid w:val="00E24145"/>
    <w:rsid w:val="00E451D8"/>
    <w:rsid w:val="00E82457"/>
    <w:rsid w:val="00E84FC9"/>
    <w:rsid w:val="00EA37E8"/>
    <w:rsid w:val="00EB1287"/>
    <w:rsid w:val="00EB2756"/>
    <w:rsid w:val="00ED582C"/>
    <w:rsid w:val="00F42445"/>
    <w:rsid w:val="00F9037A"/>
    <w:rsid w:val="00FA0E7B"/>
    <w:rsid w:val="00FB6F58"/>
    <w:rsid w:val="00FE68B9"/>
    <w:rsid w:val="051973C8"/>
    <w:rsid w:val="06870E69"/>
    <w:rsid w:val="07D87580"/>
    <w:rsid w:val="07FE4FDC"/>
    <w:rsid w:val="097509DB"/>
    <w:rsid w:val="0A477EDD"/>
    <w:rsid w:val="0A8809DE"/>
    <w:rsid w:val="0FD8636F"/>
    <w:rsid w:val="10C7523F"/>
    <w:rsid w:val="121052F1"/>
    <w:rsid w:val="127073DD"/>
    <w:rsid w:val="15D12E95"/>
    <w:rsid w:val="1737427C"/>
    <w:rsid w:val="1813765F"/>
    <w:rsid w:val="1DB064D9"/>
    <w:rsid w:val="1E1B17EE"/>
    <w:rsid w:val="1E577E24"/>
    <w:rsid w:val="217245C5"/>
    <w:rsid w:val="227166DD"/>
    <w:rsid w:val="2329452F"/>
    <w:rsid w:val="23ED1E7F"/>
    <w:rsid w:val="248060C3"/>
    <w:rsid w:val="252F55E6"/>
    <w:rsid w:val="26BA2DE1"/>
    <w:rsid w:val="28C27007"/>
    <w:rsid w:val="2A9C2E62"/>
    <w:rsid w:val="2B635246"/>
    <w:rsid w:val="2DB26CD2"/>
    <w:rsid w:val="2DE35B90"/>
    <w:rsid w:val="2E3D37F3"/>
    <w:rsid w:val="2FC778A5"/>
    <w:rsid w:val="2FF85468"/>
    <w:rsid w:val="31536E87"/>
    <w:rsid w:val="33502DAF"/>
    <w:rsid w:val="337865FC"/>
    <w:rsid w:val="3587427C"/>
    <w:rsid w:val="36891917"/>
    <w:rsid w:val="36A531FD"/>
    <w:rsid w:val="373E4107"/>
    <w:rsid w:val="38A8683D"/>
    <w:rsid w:val="38B253A2"/>
    <w:rsid w:val="39F506E3"/>
    <w:rsid w:val="3D142D0B"/>
    <w:rsid w:val="3F635252"/>
    <w:rsid w:val="401C4AF2"/>
    <w:rsid w:val="40435656"/>
    <w:rsid w:val="41430601"/>
    <w:rsid w:val="4284401E"/>
    <w:rsid w:val="467C643E"/>
    <w:rsid w:val="46AE7362"/>
    <w:rsid w:val="474854B5"/>
    <w:rsid w:val="4A51769C"/>
    <w:rsid w:val="4ADF3C5B"/>
    <w:rsid w:val="4C2B4A30"/>
    <w:rsid w:val="4C6423A5"/>
    <w:rsid w:val="4C842984"/>
    <w:rsid w:val="4CAF7CFB"/>
    <w:rsid w:val="4CEE25DC"/>
    <w:rsid w:val="4D5A0F1E"/>
    <w:rsid w:val="4DF57837"/>
    <w:rsid w:val="4F3F4896"/>
    <w:rsid w:val="53111437"/>
    <w:rsid w:val="53D90B91"/>
    <w:rsid w:val="53E8471C"/>
    <w:rsid w:val="55A44471"/>
    <w:rsid w:val="568F71BE"/>
    <w:rsid w:val="596A2E84"/>
    <w:rsid w:val="5B6358E2"/>
    <w:rsid w:val="5BA96FD7"/>
    <w:rsid w:val="5BDC3D67"/>
    <w:rsid w:val="5BF36B39"/>
    <w:rsid w:val="5D175DE1"/>
    <w:rsid w:val="619B3F73"/>
    <w:rsid w:val="66A75F4C"/>
    <w:rsid w:val="66B77FB0"/>
    <w:rsid w:val="68D51F71"/>
    <w:rsid w:val="68E00EDD"/>
    <w:rsid w:val="6A5B7EA8"/>
    <w:rsid w:val="6A877AC8"/>
    <w:rsid w:val="6EC52253"/>
    <w:rsid w:val="6EFC66C4"/>
    <w:rsid w:val="703105C3"/>
    <w:rsid w:val="70CD6C15"/>
    <w:rsid w:val="711B7BB5"/>
    <w:rsid w:val="71BC6838"/>
    <w:rsid w:val="72AA7408"/>
    <w:rsid w:val="74BFF93F"/>
    <w:rsid w:val="759F4462"/>
    <w:rsid w:val="76927F1D"/>
    <w:rsid w:val="76A922C1"/>
    <w:rsid w:val="76D1742F"/>
    <w:rsid w:val="7B5366D4"/>
    <w:rsid w:val="7E9C08D8"/>
    <w:rsid w:val="7F41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5662</Words>
  <Characters>6091</Characters>
  <Lines>74</Lines>
  <Paragraphs>21</Paragraphs>
  <TotalTime>15</TotalTime>
  <ScaleCrop>false</ScaleCrop>
  <LinksUpToDate>false</LinksUpToDate>
  <CharactersWithSpaces>6107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2021-08-04T15:27:00Z</dcterms:created>
  <dc:creator>李航 null</dc:creator>
  <cp:lastModifiedBy>坏脾气</cp:lastModifiedBy>
  <cp:lastPrinted>2021-08-06T11:55:00Z</cp:lastPrinted>
  <dcterms:modified xsi:type="dcterms:W3CDTF">2022-08-22T09:19:02Z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9F9BA65F586240DBBEF9B1A0BD67E891</vt:lpwstr>
  </property>
</Properties>
</file>